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6865-2004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de la ejecución de la pena privativa de libertad, de la pena de inhabilitación especial para el ejercicio del derecho de sufragio pasivo durante el tiempo de la condena, así como de la responsabilidad personal</w:t>
            </w:r>
          </w:p>
          <w:p w:rsidRPr="00D13423" w:rsidR="00AD51A7" w:rsidRDefault="00AD51A7">
            <w:pPr>
              <w:rPr/>
            </w:pPr>
            <w:r w:rsidRPr="&lt;w:rPr xmlns:w=&quot;http://schemas.openxmlformats.org/wordprocessingml/2006/main&quot;&gt;&lt;w:color w:val=&quot;800080&quot; /&gt;&lt;w:szCs w:val=&quot;24&quot; /&gt;&lt;/w:rPr&gt;">
              <w:rPr/>
              <w:t xml:space="preserve">subsidiaria en caso de impago de la pena de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los demás pronunciamientos contenidos en las resoluciones recurridas.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noviembre de 2003 tuvo entrada en el registro de este Tribunal escrito firmado por la Procuradora de los Tribunales doña Rosina Montes Agustí, en representación de don Manuel Neto Luis, en virtud del cual interponía recurso de amparo contra la Sentencia de la Sección Tercera de la Audiencia Provincial de Huelva, de 20 de septiembre de 2004, que desestimó el recurso de apelación interpuesto contra Sentencia del Juzgado de lo Penal núm. 3 de Huelva, de 21 de mayo de 2004, que condenó al demandante de amparo, como autor de un delito contra la salud pública, a la pena de tres años de prisión y multa de 2.002.090 euros, con la consiguiente responsabilidad personal subsidiaria en caso de impago, y la accesoria de inhabilitación especial para el ejercicio del derecho de sufragio pasivo durante el tiempo de la condena, así como al pago de las costas habidas por el acusado. Por medio de otrosí, se solicitaba en la demanda la suspensión de la ejecución de la Sentencia recurrida, con el objeto de evitar un perjuicio que haría perder al amparo su finalidad en el caso de ingreso en prisión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18 de octubre de 2005,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igual fecha, la Sala acordó formar la oportuna pieza para la tramitación del incidente de suspensión y, conforme a lo dispuesto en el art. 56 LOTC, concedió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doña Rosina Montes Agustí presentó escrito en este Tribunal el 25 de octubre de 2005, reiterando su petición de suspensión, bajo el argumento de que el Juzgado de lo Penal ha ordenado el ingreso en prisión del recurrente en ejecución de la pena impuesta, resolución que puede serle totalmente perjudicial en el caso de que la resolución del recurso de amparo resulte positiva para sus intereses. Además, señala que la pena impuesta no es de las calificadas como graves en el Código penal, que en nada afecta su suspensión a derechos de terceros y que, desde el primer momento de su detención, fue puesto en libertad condicional por el Juez Instructor que le tomó declaración, al percatarse claramente de su falta de participación en los hechos. En este sentido invoca la doctrina sentada por este Tribunal en interpretación del artículo 56.1 LOTC, citando el ATC de 26 de marzo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Fiscal, en escrito registrado en la misma fecha, manifiesta que procede la suspensión de la pena privativa de libertad impuesta, en aplicación de la doctrina constitucional, al tratarse de pena con una duración de tres años, porque de no suspenderse podría, en su caso, hacer perder al amparo su finalidad, causando perjuicios al actor de difícil o imposible reparación. A su juicio, tampoco existe inconveniente suspender la pena accesoria de suspensión del derecho sufragio pasivo que ha sido impuesta al recurrente, como se hizo en el ATC 22/2002. Por el contrario, el Ministerio público no considera procedente la suspensión de la pena de multa ni de la responsabilidad personal subsidiaria para el caso de impago, ni de las costas, que o admiten la restitución íntegra de lo ejecutado (como ocurre en las condenas de contenido patrimonial) o se trata de una eventualidad incierta en este momento, en el supuesto de la responsabilidad personal subsidiaria para el caso de impago, que depende de que la multa no llegue a ser abonada voluntariamente o por la vía de apremio.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hiciera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manteniendo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Ahora bien, también hemos dicho que este criterio no es absoluto, pues se hace necesario conciliar la ejecutoriedad de las resoluciones judiciales y el derecho a la libertad personal y, para ello, deben examinarse las circunstancias concretas que se dan en cada supuesto, pues las mismas pueden inclinar la resolución en favor del interés general o del interés particular que, por definición, concurren siempre cuando de la suspensión del acto de un poder público se trata (ATC 318/1999, de 20 de diciembre).  Por tanto, la decisión ha de ponderar otros criterios relevantes, entre los cuales se encuentran la gravedad y naturaleza de los hechos enjuiciados, el bien jurídico protegido, su trascendencia social, la duración de la pena impuesta y el tiempo que reste de cumplimiento de la misma, el riesgo de que se eluda la acción de la Justicia y la posible desprotección de las víctimas. Entre tales circunstancias, adquiere especial significación la gravedad de la pena impuesta, porque este criterio encierra la expresión de la reprobación que el Ordenamiento asigna al hecho delictivo y, por consiguiente, la magnitud del interés general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Por otra parte, este Tribunal ha establecido el criterio de que la ejecución de las resoluciones judiciales cuyos efectos son fundamentalmente patrimoniales o de contenido económico, en principio,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Apreciación inicial que se confirma cuando el recurrente no aduce razón alguna que justifique la procedencia de la suspensión en su caso concreto, acreditando los irreparables perjuicios que pudiera acarrearle la imposibilidad material de atender al pago, lo que frustraría, al menos en parte,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el demandante de amparo fue condenado por Sentencia del Juzgado de lo Penal núm. 3 de Huelva -confirmada por la Sección Tercera de la Audiencia Provincial de Huelva-, como autor de un delito contra la salud pública, a la pena de tres años de prisión y multa de 2.002.090 euros, con responsabilidad personal subsidiaria en caso de impago, y la accesoria de inhabilitación especial para el ejercicio del derecho de sufragio pasivo durante el tiempo de la condena, así como al pago de las costas causadas por el acusado.</w:t>
      </w:r>
    </w:p>
    <w:p w:rsidRPr="00C21FFE" w:rsidR="00AD51A7" w:rsidRDefault="00AD51A7">
      <w:pPr>
        <w:rPr/>
      </w:pPr>
      <w:r w:rsidRPr="&lt;w:rPr xmlns:w=&quot;http://schemas.openxmlformats.org/wordprocessingml/2006/main&quot;&gt;&lt;w:lang w:val=&quot;es-ES_tradnl&quot; /&gt;&lt;/w:rPr&gt;">
        <w:rPr/>
        <w:t xml:space="preserve">Pues bien, la aplicación de la doctrina general reseñada al caso presente conduce a acordar la suspensión interesada en lo relativo a la pena privativa de libertad, dado que, de no suspenderse, podría ocasionarse al demandante de amparo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sin que de la suspensión se derive una particular lesión de los mismos distinta de la que en sí misma produce la suspensión de un fallo judicial.</w:t>
      </w:r>
    </w:p>
    <w:p w:rsidRPr="00C21FFE" w:rsidR="00AD51A7" w:rsidRDefault="00AD51A7">
      <w:pPr>
        <w:rPr/>
      </w:pPr>
      <w:r w:rsidRPr="&lt;w:rPr xmlns:w=&quot;http://schemas.openxmlformats.org/wordprocessingml/2006/main&quot;&gt;&lt;w:lang w:val=&quot;es-ES_tradnl&quot; /&gt;&lt;/w:rPr&gt;">
        <w:rPr/>
        <w:t xml:space="preserve">La suspensión de la pena privativa de libertad conlleva asimismo la de la pena accesoria por seguir ésta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Por el contrario no procede la suspensión de los pronunciamientos de contenido patrimonial ya que no se ha acreditado circunstancia alguna que conduzca a excepcionar la doctrina general de este Tribunal en la materia expuesta en el fundamento anterior, por lo que, siendo una condena de contenido económico, los perjuicios anejos a su ejecución serían perfectamente reparables, aunque se otorgase el amparo.</w:t>
      </w:r>
    </w:p>
    <w:p w:rsidRPr="00C21FFE" w:rsidR="00AD51A7" w:rsidRDefault="00AD51A7">
      <w:pPr>
        <w:rPr/>
      </w:pPr>
      <w:r w:rsidRPr="&lt;w:rPr xmlns:w=&quot;http://schemas.openxmlformats.org/wordprocessingml/2006/main&quot;&gt;&lt;w:lang w:val=&quot;es-ES_tradnl&quot; /&gt;&lt;/w:rPr&gt;">
        <w:rPr/>
        <w:t xml:space="preserve">Sin embargo, de lo anterior debe excepcionarse la privación de libertad subsidiaria para el caso de impago de la multa, pues en los supuestos, como el presente, en que se dilucida la posible privación de libertad del recurrente como efecto, siquiera subsidiario, de una condena penal de multa, procede acceder a la suspensión solicitada en cuanto a la responsabilidad personal en caso de impago, ya que, si bien se trata de una eventualidad futura, razones de economía procesal nos han llevado en ocasiones precedentes a acordar su suspensión junto con la de la condena a pena privativa de libertad, pues, de ejecutarse la pena pecuniaria en su forma de responsabilidad personal subsidiaria, la eventual concesión del amparo perdería su finalidad (por todos, AATC 219/2003, de 30 de junio; 275/2003, de 23 de julio; 57/2004, de 23 de febrero, y 184/2004, de 19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de la ejecución de la pena privativa de libertad, de la pena de inhabilitación especial para el ejercicio del derecho de sufragio pasivo durante el tiempo de la condena, así como de la responsabilidad personal</w:t>
      </w:r>
    </w:p>
    <w:p w:rsidRPr="" w:rsidR="00AD51A7" w:rsidRDefault="00AD51A7">
      <w:pPr>
        <w:rPr/>
      </w:pPr>
      <w:r w:rsidRPr="&lt;w:rPr xmlns:w=&quot;http://schemas.openxmlformats.org/wordprocessingml/2006/main&quot;&gt;&lt;w:szCs w:val=&quot;24&quot; /&gt;&lt;/w:rPr&gt;">
        <w:rPr/>
        <w:t xml:space="preserve">subsidiaria en caso de impago de la pena de multa.</w:t>
      </w:r>
    </w:p>
    <w:p w:rsidRPr="" w:rsidR="00AD51A7" w:rsidRDefault="00AD51A7">
      <w:pPr>
        <w:rPr/>
      </w:pPr>
      <w:r w:rsidRPr="&lt;w:rPr xmlns:w=&quot;http://schemas.openxmlformats.org/wordprocessingml/2006/main&quot;&gt;&lt;w:szCs w:val=&quot;24&quot; /&gt;&lt;/w:rPr&gt;">
        <w:rPr/>
        <w:t xml:space="preserve">2º Denegar la suspensión respecto de los demás pronunciamientos contenidos en las resoluciones recurridas.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