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4414-2005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4414-2005,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junio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1765-2003), el Auto de la referida Sala de 2 de junio de 2005, mediante el que se acuerda elevar a este Tribunal cuestión de inconstitucionalidad respecto de la Ley de la Asamblea de Extremadura 7/1997, de 29 de mayo, de medidas fiscales sobre producción y transporte de energía que incidan sobre el medio ambiente, por si pudiera ser contraria al art. 6.3 de la Ley Orgánica 8/1980, de 22 de septiembre, de financiación de las Comunidades Autónomas,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núm. 1765-2003 interpuesto por “Retevisión Móvil, S.A.” ante la Sala de lo Contencioso-Administrativo del Tribunal Superior de Justicia de Extremadura, contra la Resolución de la Junta Económico-Administrativa Regional de Extremadura de fecha 8 de octubre de 2003, desestimatoria de la reclamación (núm. 323-2002) interpuesta contra la Resolución de la Dirección General de Ingresos de la Consejería de Economía, Industria y Comercio de la Junta de Extremadura que desestima el recurso interpuesto contra la sanción impuesta en concepto de Impuesto extremeño sobre instalaciones que incidan en el medio ambiente correspondiente a los ejercicios 2000 y 2001. Admitido y tramitado el citado recurso, y una vez conclusos los autos, el día 11 de abril de 2005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7/1997, de 29 de mayo, de medidas fiscales sobre la producción y transporte de energía que incidan sobre el medio ambiente, en cuanto que la misma pudiera vulnerar los arts. 9.3, 133.2, 142 y 151.1, todos ellos de la CE, así como al art. 6.3 de la Ley Orgánica de Financiación de las Comunidades Autónomas. Este trámite fue sustanciado conforme a lo dispuesto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promovido por la Presidencia del Gobierno contra la Ley de la Asamblea de Extremadura 7/1997 y, finalmente, a las razones por las que considera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 Leyes”, condiciona dicha potestad a que dichos tributos no puedan “recaer sobre hechos imponibles gravados por el Estado” pero sí sobre “las materias que la legislación de Régimen Local reserve a las Corporaciones Locales”, aunque sólo, “en los supuestos en que dicha legislación lo prevea y en los términos en que la misma contemple”.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referirse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aplicable, señala que el impuesto que se establece en la Ley extremeña cuestionada tiene la misma naturaleza y contenido que el impuesto regulado en la Ley del Parlamento de las Islas Baleares 12/1991, de 20 de diciembre (sobre instalaciones que incidan en el medio ambiente), pues no se gravan directamente los deterioros que se pudiesen ocasionar al medio ambiente, sino —como resulta de su art. 2— la mera “titularidad… de los elementos patrimoniales” (de hecho, la propia Exposición de motivos de la Ley confiesa la intención del legislador autonómico), gravando la misma materia imponible —la misma manifestación de capacidad económica— que el Impuesto sobre Bienes Inmuebles que, conforme al art. 61 de la Ley 39/1988, de 28 de diciembre, reguladora de las haciendas locales, configura como hecho imponible la mera “propiedad de los bienes inmuebles de naturaleza rústica y urbana”, produciéndose, como recuerda la Sentencia 289/2000, una duplicidad de hechos imponibles entre el impuesto local y el autonómico (todos los inmuebles en el impuesto municipal, y algunos en el IBIAMA, pero, en todo caso, bienes inmuebles) que lo vicia de inconstitucionalidad por vulnerar el bloque la constitucionalidad y, en concreto, el art. 6.3 LOFCA. </w:t>
      </w:r>
    </w:p>
    <w:p w:rsidRPr="00C21FFE" w:rsidR="00AD51A7" w:rsidRDefault="00AD51A7">
      <w:pPr>
        <w:rPr/>
      </w:pPr>
      <w:r w:rsidRPr="&lt;w:rPr xmlns:w=&quot;http://schemas.openxmlformats.org/wordprocessingml/2006/main&quot;&gt;&lt;w:lang w:val=&quot;es-ES_tradnl&quot; /&gt;&lt;/w:rPr&gt;">
        <w:rPr/>
        <w:t xml:space="preserve">c) La anterior conclusión, a juicio del órgano judicial, no se ve desmerecida por posteriores pronunciamientos del Tribunal Constitucional respecto de tributos similares, como el analizado en la STC 168/2004, en el que se admitió la compatibilidad de la materia imponible local y la tributación autonómica cuando ésta tenga por objeto la adscripción a un determinado fin de los recursos que se pretendan obtener con el tributo (protección civil en el caso examinado por la sentencia), siempre que el carácter finalista del tributo se materialice en unos términos que puedan reputarse respetuosos con la prohibición de doble imposición establecida en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2005, la Sección Tercera de este Tribunal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255, de 25 de octubre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28 de octubre de 2005 se recibió una comunicación del Presidente del Senado, en el sentido de que se tuviera a dicha Cámara por personada en el procedimiento y por ofrecida su colaboración a los efectos del art. 88.1 LOTC. Posteriormente, por escrito registrado el 2 de noviembre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escrito registrado en este Tribunal el día 3 de noviembre de 2005 en el que suplicaba que se dictase sentencia desestimatoria de la cuestión porque, al igual que sucedió con el caso resuelto por la STC 168/2004, el legislador regional no pretende gravar el valor objetivamente asignable a la mera titularidad de ciertos derechos reales inmobiliarios sino la intensidad de la incidencia medioambiental imputable a ciertas instalaciones. Además, a su juicio, el impuesto autonómico cuestionado no afecta a la capacidad recaudatoria municipal por IBI más que de manera muy indirecta e hipotética, por cuanto —dada su finalidad extrafiscal— podría desalentar la subsistencia de instalaciones perturbadoras o peligrosas para el medio ambiente, las cuales están sujetas al citado impuesto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11 de noviembre de 2005 presentó su escrito de alegaciones don Miguel Prieto Benítez, Letrado de la Junta de Extremadura, en defensa y representación de su Consejo de Gobierno, suplicando que se dicte Sentencia por la que se desestima la cuestión de inconstitucionalidad planteada, declarándose expresamente que la Ley de la Asamblea de Extremadura 7/1997, de 29 de mayo, es constitucional. En efecto, a diferencia de lo que sucedía con el Impuesto balear declarado inconstitucional en la STC 289/2000, el impuesto autonómico ahora cuestionado no grava la mera titularidad de las instalaciones, sino que su finalidad es de protección medio ambiental, por lo que no se produce la doble imposición proscrita por el art. 6.3 LOFCA, al igual que ocurría con la Ley del Parlamento de Cataluña 4/1997, declarada constitucional por la STC 168/2004, de 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día 16 de noviembre de 2005, doña Caridad Domínguez Perals, Letrada de la Asamblea de Extremadura, en nombre y representación de la misma, evacuó el trámite de alegaciones solicitando se declare que la Ley 7/1997, de 29 de mayo, de medidas fiscales sobre producción y transporte de energía que incidan sobre el medio ambiente es ajustada a la Constitución y a la LOFCA, porque el tributo extremeño no grava la misma materia imponible que los tributos locales ya que no somete a tributación la mera titularidad de las instalaciones sino que tiene una finalidad de protección medioambiental, de tal manera que, como dijo la STC 168/2004 “el carácter finalista del tributo se materializa en unos términos que pueden reputarse respetuosos con la prohibición de doble imposición establecida por el art. 6.3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evacuó el trámite conferido mediante escrito registrado el día 17 de noviembre de 2005, interesando de este Tribunal la estimación de la cuestión de inconstitucionalidad planteada y, en consecuencia, que anule la Ley de la Asamblea de Extremadura 7/1997, de 29 de mayo, con fundamento en las mismas alegaciones efectuadas en relación con la cuestión de inconstitucionalidad núm. 1219-2005.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Extremadura plantea, por medio de Auto de 2 de junio de 2005, una cuestión de inconstitucionalidad respecto de la Ley de la Asamblea de Extremadura 7/1997, de 29 de mayo, de normas fiscales sobre producción y transporte de energía que incidan sobre el medio ambiente, por si pudiera ser contraria al art. 6.3 de la Ley Orgánica 8/1980, de 22 de septiembre, de financiación de las Comunidades Autónomas (LOFCA),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promovida por el mismo órgano judicial con el núm. 1219-2005 y resuelta recientemente por este Tribunal en la STC 179/2006, de 13 de junio, en la que hemos declarado la inconstitucionalidad y nulidad de la Ley de la Asamblea de Extremadura 7/1997, de 29 de mayo, de medidas fiscales sobre la producción y transporte de energía que incidan sobre el medio ambiente, en su redacción previa a las modificaciones operadas por la Ley de la Asamblea de Extremadura 8/2005, de 27 de diciembre, estimando el planteamiento realizado por el órgano judicial a quo.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la citada norma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4414-2005,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