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7424-2006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7424-2006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las resoluciones impugnadas exclusivamente en lo referente a la pena privativa de libertad de seis años de prisión y a la accesoria legal de inhabilitación especial para el ejercicio del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julio de 2006, doña Almudena Delgado Gordo, Procuradora de los Tribunales, y de don Kamal Hadid Chaar, interpuso recurso de amparo contra las resoluciones judiciales que se citan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 la Sección Tercera de la Sala de lo Penal de la Audiencia Nacional, de 26 de septiembre de 2005, se condenó al recurrente, como autor de un delito de colaboración con organización terrorista (Al Qaeda) del art. 576 CP, a la pena de seis años de prisión y multa de dieciocho meses, a razón de una cuota diaria de 5 euros, y accesoria legal de inhabilitación especial para el derecho de sufragio pasivo durante el tiempo de la condena, así como al pago de la parte proporcional de las costas. </w:t>
      </w:r>
    </w:p>
    <w:p w:rsidRPr="00C21FFE" w:rsidR="00AD51A7" w:rsidRDefault="00AD51A7">
      <w:pPr>
        <w:rPr/>
      </w:pPr>
      <w:r w:rsidRPr="&lt;w:rPr xmlns:w=&quot;http://schemas.openxmlformats.org/wordprocessingml/2006/main&quot;&gt;&lt;w:lang w:val=&quot;es-ES_tradnl&quot; /&gt;&lt;/w:rPr&gt;">
        <w:rPr/>
        <w:t xml:space="preserve">b) La anterior resolución fue confirmada en casación por la Sentencia de la Sala de lo Penal del Tribunal Supremo, de 31 de mayo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se solicita se deje en suspenso la ejecución de la sentencia condenatoria, pues lo contrario le generaría un perjuicio irreparable que haría perder al amparo su finalidad, al haberse cumplido ya casi dos años en prisión, del total de seis que le fueron impuestos.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septiembre de 2007, la Sala Segunda de este Tribunal acordó la admisión a trámite de la demanda así como, a tenor de lo establecido en el art. 51 LOTC, requerir atentamente a la Sala Segunda del Tribunal Supremo para que remitiera certificación o fotocopia adverada de las actuaciones correspondientes al recurso de casación núm. 1158/2005, e igualmente requerir a la Sección Tercera de la Sala de lo Penal de la Audiencia Nacional para que remitiera certificación o fotocopia adverada de las actuaciones correspondientes al rollo de Sala 64-2004, debiendo previamente emplazar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la Sala Segunda acordó formar la correspondiente pieza separada de suspensión y, de conformidad con lo previsto en el art. 56 LOTC, conceder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 de octubre de 2007 realizó sus alegaciones el demandante de amparo, quien reitera la solicitud de suspensión, argumentando que lleva cumplida más de la mitad de la condena de seis años que le fue impuesta (pues estuvo en prisión provisional 74 días y posteriormente fue ingresado en prisión cuando iba a comenzar el juicio oral, en noviembre de 2004, situación en la que se encuentra en la actualidad), restando por cumplir sólo dos años y diez meses, por lo que la no suspensión comportaría la pérdida efectiva de la finalidad del amparo, causando un daño irreparable a su libertad para el supuesto de que prospere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5 de octubre de 2007 se registró en este Tribunal el escrito de alegaciones del Ministerio Fiscal, que interesa la estimación de la solicitud de suspensión exclusivamente en lo relativo a la pena privativa de libertad, pero no respecto de los demás pronunciamientos contenidos en el fallo de las resoluciones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1; 63/2007, de 26 de febrero, FJ 2;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334/2004, de 13 de septiembre, FJ 3; 369/2005, de 24 de octubre, FJ 2; 214/2007, de 16 de abril, FJ 2; 287/2007, de 18 de junio, FJ 2).</w:t>
      </w:r>
    </w:p>
    <w:p w:rsidRPr="00C21FFE" w:rsidR="00AD51A7" w:rsidRDefault="00AD51A7">
      <w:pPr>
        <w:rPr/>
      </w:pPr>
      <w:r w:rsidRPr="&lt;w:rPr xmlns:w=&quot;http://schemas.openxmlformats.org/wordprocessingml/2006/main&quot;&gt;&lt;w:lang w:val=&quot;es-ES_tradnl&quot; /&gt;&lt;/w:rPr&gt;">
        <w:rPr/>
        <w:t xml:space="preserve">Por tanto, 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numerosos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tras ponderar los intereses en juego, en primer término, la procedencia de la suspensión de la ejecución de la pena privativa de libertad impuesta, conforme a lo solicitado por el Ministerio Fiscal, pues aunque la duración de la misma es de seis años, ha de tomarse en consideración que ya se ha cumplido más de la mitad de la condena, por lo que el tiempo que resta de cumplimiento es inferior a tres años. Y si se compara dicho periodo con el tiempo que requiere la tramitación de un proceso como el presente, ha de concluirse que no suspender su ejecución ocasionaría un perjuicio irreparable, que dejaría totalmente en entredicho la eficacia de un eventual fallo estimatorio.</w:t>
      </w:r>
    </w:p>
    <w:p w:rsidRPr="00C21FFE" w:rsidR="00AD51A7" w:rsidRDefault="00AD51A7">
      <w:pPr>
        <w:rPr/>
      </w:pPr>
      <w:r w:rsidRPr="&lt;w:rPr xmlns:w=&quot;http://schemas.openxmlformats.org/wordprocessingml/2006/main&quot;&gt;&lt;w:lang w:val=&quot;es-ES_tradnl&quot; /&gt;&lt;/w:rPr&gt;">
        <w:rPr/>
        <w:t xml:space="preserve">Ciertamente la condena se refiera a un delito de especial gravedad por su conexión con el terrorismo, aunque existen diferencias sustanciales entre el presente caso y los resueltos, por ejemplo, en los AATC 433/2004, de 15 de noviembre, FJ 1; 334/2004, de 13 de septiembre, FJ 4, o 140/2004, de 26 de abril, FJ 4. En estos supuestos, denegábamos la suspensión, conforme interesaba el Ministerio Fiscal, pese a haberse cumplido ya la mitad de la pena privativa de libertad, teniendo en cuenta que las penas impuestas eran de nueve años y tres meses; que se trataba de delitos de pertenencia a organización criminal, y que en atención al resto de pena que quedaba por cumplir, no era previsible que el amparo perdiera su finalidad. En el presente caso, la pena impuesta es sensiblemente inferior (seis años de prisión); la condena no es por pertenencia a banda armada, sino por colaboración con organización terrorista, y el tiempo que resta por cumplir es inferior a tres años, por lo que resulta previsible que de no concederse la suspensión el amparo pudiera perder su finalidad.</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legalmente impuesta, pues las penas accesorias han de seguir la misma suerte que la principal (AATC 131/2001, de 22 de mayo, FJ 2; y 408/2005, de 21 de noviembre, FJ 2;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–pena de multa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las resoluciones impugnadas exclusivamente en lo referente a la pena privativa de libertad de seis años de prisión y a la accesoria legal de inhabilitación especial para el ejercicio del derecho de sufragio pasivo.</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