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Ordenar la anotación preventiva de la demanda de amparo en el Registro de la Propiedad, a cuyo efecto la Sala de lo Civil y Penal del Tribunal Superior de Justicia de Cataluña expedirá el mandamiento oportuno, para que pueda practicarse la misma en</w:t>
            </w:r>
          </w:p>
          <w:p w:rsidRPr="00D13423" w:rsidR="00AD51A7" w:rsidRDefault="00AD51A7">
            <w:pPr>
              <w:rPr/>
            </w:pPr>
            <w:r w:rsidRPr="&lt;w:rPr xmlns:w=&quot;http://schemas.openxmlformats.org/wordprocessingml/2006/main&quot;&gt;&lt;w:color w:val=&quot;800080&quot; /&gt;&lt;w:szCs w:val=&quot;24&quot; /&gt;&lt;/w:rPr&gt;">
              <w:rPr/>
              <w:t xml:space="preserve">relación con el inmueble a que se refiere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29 de enero de 2008, el Abogado del Estado, en la representación que por Ley ostenta de la Administración General del Estado, interpuso recurso de amparo contra Autos de la Sala de lo Civil y Penal del Tribunal Superior de Justicia de Cataluña recaídos el 20 de septiembre y el 17 de diciembre de 2007 en los recursos de casación y por infracción procesal núm. 44-2007.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la Abogacía del Estado son los siguientes: </w:t>
      </w:r>
    </w:p>
    <w:p w:rsidRPr="00C21FFE" w:rsidR="00AD51A7" w:rsidRDefault="00AD51A7">
      <w:pPr>
        <w:rPr/>
      </w:pPr>
      <w:r w:rsidRPr="&lt;w:rPr xmlns:w=&quot;http://schemas.openxmlformats.org/wordprocessingml/2006/main&quot;&gt;&lt;w:lang w:val=&quot;es-ES_tradnl&quot; /&gt;&lt;/w:rPr&gt;">
        <w:rPr/>
        <w:t xml:space="preserve">a) En el Juzgado de Primera Instancia núm. 37 de Barcelona se tramitó procedimiento civil acerca de la titularidad dominical de la Lonja del Mar de Barcelona, en tanto que bien vacante y sin dueño conocido, recayendo Sentencia que atribuyó al Estado el dominio sobre el referido inmueble. </w:t>
      </w:r>
    </w:p>
    <w:p w:rsidRPr="00C21FFE" w:rsidR="00AD51A7" w:rsidRDefault="00AD51A7">
      <w:pPr>
        <w:rPr/>
      </w:pPr>
      <w:r w:rsidRPr="&lt;w:rPr xmlns:w=&quot;http://schemas.openxmlformats.org/wordprocessingml/2006/main&quot;&gt;&lt;w:lang w:val=&quot;es-ES_tradnl&quot; /&gt;&lt;/w:rPr&gt;">
        <w:rPr/>
        <w:t xml:space="preserve">b) Dicha Sentencia fue revocada por la Sección Decimoséptima de la Audiencia Provincial de Barcelona que, mediante Sentencia de 12 de enero de 2007, confirió el dominio de la finca a la Cámara de Comercio de Barcelona, en virtud de prescripción adquisitiva. </w:t>
      </w:r>
    </w:p>
    <w:p w:rsidRPr="00C21FFE" w:rsidR="00AD51A7" w:rsidRDefault="00AD51A7">
      <w:pPr>
        <w:rPr/>
      </w:pPr>
      <w:r w:rsidRPr="&lt;w:rPr xmlns:w=&quot;http://schemas.openxmlformats.org/wordprocessingml/2006/main&quot;&gt;&lt;w:lang w:val=&quot;es-ES_tradnl&quot; /&gt;&lt;/w:rPr&gt;">
        <w:rPr/>
        <w:t xml:space="preserve">c) Contra esta última Sentencia la Abogacía del Estado preparó e interpuso recurso de casación fundado en Derecho foral catalán y extraordinario por infracción procesal, presentado en la Audiencia Provincial para ante la Sala de lo Civil y Penal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d) La referida Sala del Tribunal Superior de Justicia de Cataluña, mediante Auto de 20 de septiembre de 2007, declaró desiertos los indicados recursos de casación y extraordinario por infracción procesal interpuestos, por apreciar que la Abogacía del Estado fue notificada y emplazada el 2 de abril de 2007 y verificó su personación ante el Tribunal mediante escrito presentado el 11 de junio siguiente, superando notoriamente el plazo legal. </w:t>
      </w:r>
    </w:p>
    <w:p w:rsidRPr="00C21FFE" w:rsidR="00AD51A7" w:rsidRDefault="00AD51A7">
      <w:pPr>
        <w:rPr/>
      </w:pPr>
      <w:r w:rsidRPr="&lt;w:rPr xmlns:w=&quot;http://schemas.openxmlformats.org/wordprocessingml/2006/main&quot;&gt;&lt;w:lang w:val=&quot;es-ES_tradnl&quot; /&gt;&lt;/w:rPr&gt;">
        <w:rPr/>
        <w:t xml:space="preserve">e) Mediante escrito de 19 de octubre de 2007 el Abogado del Estado promovió incidente de nulidad de actuaciones, alegando no haber recibido el fax por medio del cual se le emplazaba para personarse ante la Sala de lo Civil y Penal. La petición anulatoria fue desestimada por Auto de 17 de diciembre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en su dimensión o vertiente de derecho de acceso a los recursos legalmente establecidos. Por otrosí, en la misma demanda, de acuerdo con lo previsto en el art. 56.3 LOTC, el Abogado del Estado solicita la anotación preventiva de su demanda en el Registro de la propiedad ya que en el caso de que se transmitiera la finca sobre la que versan las actuaciones, por su actual titular a un tercero que inscribiera su titularidad, la transmisión quedaría amparada por el art. 34 de la Ley hipotecaria.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diciembre de 2008 la Sección Segunda de este Tribunal acordó la admisión a trámite de la demanda de amparo así como, a tenor de lo establecido en el art. 51 LOTC, requerir a la Sala de lo Civil y Penal del Tribunal Superior de Justicia de Cataluña para que remitiera testimonio de los recursos de casación y por infracción procesal registrados con el núm. 44-2007, interesándose al tiempo que se emplazase a quienes fueron parte en el procedimiento, a excepción del demandante de amparo, para que en el plazo de diez días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Abogado del Estado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presentado el 22 de diciembre de 2008, reitera su petición de que este Tribunal proceda a acordar la anotación preventiva de la demanda de amparo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29 de diciembre de 2008, el Ministerio Fiscal se muestra favorable a la adopción de la medida cautelar solicitada, por estimar que tal decisión resultaría conforme con la jurisprudencia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Con motivo de la aplicación del art. 56 LOTC hemos venido entendiendo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Sí hemos accedido a la adopción de medidas cautelares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llegue a producir la transmisión del dominio sobre un bien inmueble a favor de un tercero de buena fe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clase de medidas cautelares susceptibles de adoptarse en tales supuestos, junto a la suspensión del acto o resolución impugnados (art. 56.2 LOTC), se dispone en el art. 56.3 LOTC que “…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Singularmente, respecto de la medida cautelar solicitada en el presente caso —la anotación preventiva de la demanda de amparo en el Registro de la propiedad— hemos señalado en ocasiones precedentes que este Tribunal está facultado para acordar tal medida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Ordenar la anotación preventiva de la demanda de amparo en el Registro de la Propiedad, a cuyo efecto la Sala de lo Civil y Penal del Tribunal Superior de Justicia de Cataluña expedirá el mandamiento oportuno, para que pueda practicarse la misma en</w:t>
      </w:r>
    </w:p>
    <w:p w:rsidRPr="" w:rsidR="00AD51A7" w:rsidRDefault="00AD51A7">
      <w:pPr>
        <w:rPr/>
      </w:pPr>
      <w:r w:rsidRPr="&lt;w:rPr xmlns:w=&quot;http://schemas.openxmlformats.org/wordprocessingml/2006/main&quot;&gt;&lt;w:szCs w:val=&quot;24&quot; /&gt;&lt;/w:rPr&gt;">
        <w:rPr/>
        <w:t xml:space="preserve">relación con el inmueble a que se refiere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