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del Auto de la Sala de lo Penal del Tribunal Militar Territorial Cuarto de A Coruña de 15 de enero de 2010 dictado en ejecutoria núm. 63-2001, impugnado en el presente recurso de amparo, en lo que se refiere a la pena privativa de</w:t>
            </w:r>
          </w:p>
          <w:p w:rsidRPr="00D13423" w:rsidR="00AD51A7" w:rsidRDefault="00AD51A7">
            <w:pPr>
              <w:rPr/>
            </w:pPr>
            <w:r w:rsidRPr="&lt;w:rPr xmlns:w=&quot;http://schemas.openxmlformats.org/wordprocessingml/2006/main&quot;&gt;&lt;w:color w:val=&quot;800080&quot; /&gt;&lt;w:szCs w:val=&quot;24&quot; /&gt;&lt;/w:rPr&gt;">
              <w:rPr/>
              <w:t xml:space="preserve">libertad impuesta y accesoria de inhabilitación especial para el ejercicio del derecho de sufragio pasivo.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9 de febrero de 2010, la Procuradora de los Tribunales doña Pilar Cendrero Mijarra, en representación de don Manuel Tizón Crespo, interpuso recurso de amparo frente al Auto de la Sala de lo Penal del Tribunal Militar Territorial Cuarto de A Coruña de 15 de enero de 2010 dictado en ejecutoria núm. 63-2001 por el que, desestimando el recurso de súplica presentado contra el Auto de 18 de diciembre de 2009 dictado por el citado órgano judicial, acordaba continuar con la ejecución de la pena de nueve meses de prisión impuesta por delito de desobediencia por la Sentencia de la Sala Quinta del Tribunal Supremo de 9 de abril de 2001 que, estimando parcialmente el recurso de casación interpuesto, reducía a nueve meses la pena de dieciocho meses inicialmente acordada por Sentencia de 21 de enero de 2000 dictada por el Tribunal Militar Territorial Cuarto de A Coruña en Sumario núm. 42-03-1997.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propia demanda, y en sucesivos escritos presentados ante este Tribunal, la representación procesal del recurrente solicitó la urgente suspensión de la ejecución de la pena privativa de libertad, a la vista de que el ingreso en prisión ya se ha hecho efectivo.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25 de mayo de 2010, esta Sala Segunda ha acordado la admisión a trámite de la demanda de amparo presentada.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6/2007, de 24 de mayo, ha dado nueva redacción al art. 56 LOTC, atribuyendo en su apartado sexto a las Salas y Secciones de este Tribunal la facultad de adoptar, inaudita parte, en la propia resolución de admisión a trámite de los recursos de amparo, la suspensión de la ejecución de la Sentencia impugnada en supuestos de urgencia excepcional. Sobre la posibilidad general de suspensión,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inicial del art. 56 LOTC y confirmada en relación con la vigente en la actualidad (AATC 17/1980, 57/1980, 257/1986, 249/1989, 294/1989, 141/1990, 35/1996, 287/1997, 185/1998, 86/1999 y 99/1999, entre otros), que la posibilidad de suspensión legalmente prevista está configurada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Tal como recordábamos en el ATC 286/2008, de 22 de septiembre de 2008, “cuando de la suspensión de la ejecución de condenas penales se trata, la evaluación de la gravedad de la perturbación que para el interés general tiene la suspensión de la ejecución de una pena constituye un juicio complejo dependiente de diversos factores,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viene aplicando como directriz inicial la de que la pena se sitúe por encima o por debajo de la frontera de los cinco años de prisión (ATC 16/2009, de 26 de enero), que es la que le sirve al legislador penal para diferenciar entre las penas graves y las menos graves (art. 33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apreciar, en primer término, la existencia de la urgencia que justifica la adopción inaudita parte de la suspensión solicitada, habida cuenta que la pena privativa de libertad impuesta está ya siendo ejecutada, tal y como se recoge en los antecedentes. De otra parte, es procedente la suspensión de la ejecución de la pena privativa de libertad impuesta, pues, si se compara la duración total de la misma, que es de nueve meses de prisión,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156/2002, de 16 de septiembre, FJ 3). Por otro lado, atendidas las demás circunstancias concurrentes en el caso, y en especial que la pena impuesta no es de larga duración, no se aprecia que acceder a la suspensión solicitada ocasione una lesión específica y grave del interés general, más allá de aquélla que de por sí produce la no ejecución inmediata de un fallo judicial (AATC 106/2002, de 17 de junio, FJ 2 y 165/2002, de 30 de septiembre, FJ 2). La suspensión de la pena privativa de libertad conlleva la de la pena accesoria de suspensión del derecho de sufragio durante el tiempo de la condena, por seguir dicha pena la suerte de la principal a la que acompaña y no apreciarse que la suspensión de su ejecución pueda afectar a los derechos de terceros (por todos ATC 159/2004, de 5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del Auto de la Sala de lo Penal del Tribunal Militar Territorial Cuarto de A Coruña de 15 de enero de 2010 dictado en ejecutoria núm. 63-2001, impugnado en el presente recurso de amparo, en lo que se refiere a la pena privativa de</w:t>
      </w:r>
    </w:p>
    <w:p w:rsidRPr="" w:rsidR="00AD51A7" w:rsidRDefault="00AD51A7">
      <w:pPr>
        <w:rPr/>
      </w:pPr>
      <w:r w:rsidRPr="&lt;w:rPr xmlns:w=&quot;http://schemas.openxmlformats.org/wordprocessingml/2006/main&quot;&gt;&lt;w:szCs w:val=&quot;24&quot; /&gt;&lt;/w:rPr&gt;">
        <w:rPr/>
        <w:t xml:space="preserve">libertad impuesta y accesoria de inhabilitación especial para el ejercicio del derecho de sufragio pasivo.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Ministerio Fiscal y demás partes personadas con la advertencia de que esta resolución podrá ser impugnada en el plazo de cinco días, tal y como prevé el art. 56.6 LOTC.</w:t>
      </w:r>
    </w:p>
    <w:p w:rsidRPr="" w:rsidR="00AD51A7" w:rsidRDefault="00AD51A7">
      <w:pPr>
        <w:rPr/>
      </w:pPr>
      <w:r w:rsidRPr="&lt;w:rPr xmlns:w=&quot;http://schemas.openxmlformats.org/wordprocessingml/2006/main&quot;&gt;&lt;w:szCs w:val=&quot;24&quot; /&gt;&lt;/w:rPr&gt;">
        <w:rPr/>
        <w:t xml:space="preserve">Madrid, a veinticinco de mayo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