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5150-2010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marzo de 2012 recayó Sentencia (STC 68/2012, de 29 de marzo) en el presente proceso constitucional (núm. 5150-2010), que denegó el amparo solicitado por don Antonio García Carbonell contra el Auto dictado el 15 de abril de 2010 por la Sala de lo Penal del Tribunal Supremo, que desestimó el recurso de casación contra el Auto de la Sección Quinta de la Audiencia Provincial de Barcelona, recaído el 3 de junio de 2009 en la ejecutoria núm. 279-1999.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proceso de amparo trae causa de que la Sección Décima de la Audiencia Provincial de Barcelona, mediante Sentencia de 27 de diciembre de 1996, condenó al demandante de amparo, como responsable de cuatro delitos de robo con violación, a cuatro penas de veinticuatro años de reclusión mayor; por la comisión de seis delitos de violación, a seis penas de quince años de reclusión menor; por cuatro delitos de detención ilegal, a cuatro penas de nueve años de prisión mayor; por un delito de robo con violencia, a cuatro años, dos meses y un día de prisión menor; por un delito de robo con intimidación, a dos años, cuatro meses y un día de prisión menor; por cinco faltas de lesiones, a otras tantas penas de veinte días de arresto menor. Igualmente le impuso las penas legales accesorias, así como el pago de las costas procesales y responsabilidades civiles que se determinan en la parte dispositiva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la Sección Quinta de la Audiencia Provincial de Barcelona, mediante Sentencia de 16 de septiembre de 1999, condenó al demandante de amparo a las penas de veinte años y un día de reclusión mayor por la comisión de un delito de robo con violación; doce años y un día de reclusión menor por la comisión de un delito de violación; seis años y un día de prisión mayor por un delito de detención ilegal; y dos años, cuatro meses y un día de prisión menor por cada uno de los dos delitos de lesiones apreciados. Igualmente le impuso las penas legales accesorias, así como el pago de las costas procesales y responsabilidades civiles que se determinan en la parte dispositiva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Habiendo sido notificada la Sentencia constitucional —el 19 de abril de 2012— a la representación procesal del demandante de amparo, mediante escrito presentado el 23 de abril solicitó aclaración de la misma, al amparo de los arts. 267 de la Ley Orgánica del Poder Judicial y 161 de la Ley de enjuiciamiento civil, en consideración a que se habría omitido, por error, un dato esencial cual es que en la ejecutoria se había practicado una liquidación de condena provisional con aplicación de los beneficios penitenciarios de redención de penas por el trabajo y que, en base a la misma, se acordó mantener la aplicación del Código penal de 1973. En concreto, añade, el 4 de julio de 2001 el Tribunal sentenciador solicitó al centro penitenciario en que se encontraba interno el demandante que remitiera la liquidación provisional de la condena, lo cual llevó a cabo el centro penitenciario, enviando el 12 de julio de 2001 la referida liquidación provisional en la que se detallaban las redenciones y se establecía el licenciamiento definitivo para el 25 de noviembre de 2013. Tras ello, el Auto de 14 de diciembre de 2001 mantuvo la aplicación del Código penal de 1973 ya que la parte, a la vista de la liquidación de condena provisional practicada, así lo solicitó. Todo lo cual, a juicio del peticionario, indica que existió una resolución judicial firme e intangible que incorpora un determinado criterio de cómputo de las redenciones de penas por el trabajo distinto al aplicado por las resoluciones recurridas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(LOTC) establece que en el plazo de dos días, a contar desde la notificación, las partes podrán solicitar de este Tribunal la aclaración de sus Sentencias. Ahora bien, como hemos expresado en reiteradas ocasiones, la solicitud de aclaración no constituye un auténtico medio de impugnación encaminado a la sustitución o revisión de la decisión adoptada. Antes al contrario, su objeto ha de limitarse tan sólo, según se pone de manifiesto en los textos legales que sirven de referencia al efecto (arts. 267 de la Ley Orgánica del Poder Judicial y 214 de la Ley de enjuiciamiento civil, aplicables supletoriamente a esta jurisdicción constitucional ex art. 80 LOTC), a la corrección de errores materiales manifiestos o errores aritméticos, la aclaración de algún concepto oscuro, suplir cualquier omisión o la rectificación de alguna contradicción manifiesta que se evidencie del propio texto de la Sentencia, sin necesidad de nuevas deducciones o interpretaciones (AATC 439/2006, de 11 de diciembre, FJ 1; 363/2007, de 11 de septiembre, FJ 1; y 70/2008, de 26 de febrero, FJ 1,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solicitante articula por la vía de la petición de aclaración una pretensión que excede manifiestamente del contenido de este trámite, pues lo que solicita no es otra cosa que un pronunciamiento de fondo radicalmente opuesto al ya recaído, en consideración a un pretendido error que, en realidad, no es tal, pues la resolución judicial a la que atribuye una intangibilidad que debiera haber llevado al otorgamiento del amparo ya fue debidamente valorada (fundamento jurídico 6 de la Sentencia) cuando afirmamos que el Auto de 14 de noviembre de 2001 se limitó a tener por desistido al demandante de amparo de su inicial petición de revisión de la condena, siendo claro que en esta resolución no se realiza pronunciamiento alguno acerca del criterio de cómputo de las redenciones por el trabajo, ni era su objeto, sin que pueda fundar el solicitante su pretensión en la propuesta de liquidación formulada el 12 de julio de 2001 por el centro penitenciario, pues dicha propuesta no llegó a ser aprobada por el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