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4017-2009, promovido por don Ignacio Pujana Alberdi, representado por el Procurador de los Tribunales don Javier Cuevas Rivas y asistido por el Abogado don Iker Urbina Fernández, contra la providencia de 16 de febrero de 2009 de la Sección Tercera de la Sala de lo Penal de la Audiencia Nacional, dictada en la ejecutoria núm. 32-1993, por la que se acuerda fijar como fecha de licenciamiento definitivo del recurrente el día 28 de junio de 2021, y contra el Auto de 17 de marzo de 2009 que desestima el recurso de súplica interpuesto frente a dicha providencia.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abril de 2009, el Procurador de los Tribunales don Javier Cuevas Rivas, en nombre y representación de don Ignacio Pujana Alberdi, y bajo la dirección del Letrado don Iker Urbina Fernández,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Sentencia firme de 24 de marzo de 1993 de la Sección Tercera de la Sala de lo Penal de la Audiencia Nacional (rollo de Sala núm. 24-1984, sumario núm. 24-1984 del Juzgado Central de Instrucción núm. 4), a varias penas de privación de libertad que sumaban en total setenta y nueve años, con el límite máximo de treinta años de cumplimiento efectivo establecido en el art. 70, regla segunda, del Código penal de 1973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misma Sala y Sección de la Audiencia Nacional de 6 de noviembre de 1996 se acordó que no procedía conforme al nuevo Código penal de 1995 (CP 1995) revisar las penas impuestas al recurrente por la Sentencia de 24 de marzo de 1993, toda vez que la pena cumplida con los beneficios penitenciarios previstos en el art. 100 CP 1973 equivale en términos de cumplimiento real a una pena posible de imponer según el nuevo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14 de enero de 2009, el centro penitenciario en el que se encontraba interno el recurrente elevó a la Sala propuesta de liquidación de condena, en la que se incluye el cálculo de redenciones obtenidas, fijándose como fecha de licenciamiento definitivo el 28 de junio de 2021, si se aplica el criterio sentado por la Sentencia de la Sala de lo Penal del Tribunal Supremo núm. 197/2006, de 28 de febrero; o bien el 23 de febrero de 2009, si se aplica el criterio anterior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16 de febrero de 2009 la Sección Tercera de la Sala de lo Penal de la Audiencia Nacional acordó, a la vista de la propuesta formulada por el centro penitenciario, que, de conformidad con el criterio establecido por la Sentencia de la Sala de lo Penal del Tribunal Supremo núm. 197/2006, de 28 de febrero, el licenciamiento definitivo del penado deberá tener lugar el 28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providencia interpuso el demandante de amparo recurso de súplica, invocando la lesión de derecho a la tutela judicial efectiva en la vertiente de intangibilidad de las resoluciones judiciales firmes (art. 24.1 CE), en relación con el derecho a la libertad (art. 17.1 CE) y el principio de legalidad penal, en cuanto proscribe la retroactividad de las normas penales desfavorables (art. 25.1 CE); asimismo la vulneración del derecho a la igualdad en la aplicación de la ley (art. 14 CE), también en relación con el derecho a la libertad (art. 17.1 CE) y la vulneración de los derechos a la defensa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súplica fue desestimado por Auto de 17 de marzo de 2009 de la misma Sala y Sección, en el que se rechaza que la aplicación al caso del criterio sentado por la citada Sentencia de la Sala de lo Penal del Tribunal Supremo núm. 197/2006 haya ocasionado vulneración alguna de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providencia de 16 de febrero de 2009 y el Auto de 17 de marzo de 2009 que la confirma se interpone el presente recurso de amparo. Con posterioridad a su interposición, la Sección Tercera de la Sala de lo Penal de la Audiencia Nacional acordó por providencia de 5 de junio de 2009 (rectificando otra anterior de 30 de abril de 2009) aprobar como nueva fecha de licenciamiento definitivo del recurrente en amparo el 22 de febrero de 2018, al abonarle el periodo de prisión sufrido en Francia (desde el 2 de marzo de 1988 al 7 de octubre de 1991) como consecuencia del proceso de extradición instado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justificar la especial trascendencia constitucional del recurso en la necesidad de un pronunciamiento sobre la doctrina de la Sala de lo Penal del Tribunal Supremo núm. 197/2006, de 28 febrero (“doctrina Parot”), porque supone un cambio radical respecto de la jurisprudencia precedente, al computar la redención de penas por el trabajo no sobre el máximo efectivo de cumplimiento de treinta años de las penas acumuladas sino sobre cada una de las penas impuestas (argumentación que se amplía mediante escrito presentado por la representación procesal del recurrente en el Registro General de este Tribunal con fecha 9 de abril de 2010),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motivo de amparo denuncia el recurrente la vulneración del derecho a la tutela judicial efectiva en la vertiente de intangibilidad de las resoluciones judiciales firmes (art. 24.1 CE), en relación con el derecho a la libertad (art. 17.1 CE). Sostiene el recurrente que el nuevo criterio sobre el cómputo de las redenciones sobre la totalidad de la condena que realiza la Sala de lo Penal del Tribunal Supremo en su Sentencia núm. 197/2006, aplicado a su caso por la Audiencia Nacional en las resoluciones impugnadas en amparo, supone desconocer lo resuelto con carácter firme en el Auto de 6 de noviembre de 1996, en el que el Tribunal sentenciador determinó que el cumplimiento de la condena debía serlo conforme al Código penal de 1973, por ser más favorable que el Código penal de 1995. De este modo, la aplicación de las redenciones penas por el trabajo al límite máximo de cumplimiento de treinta años determina un importante acortamiento de su condena, que no puede ser alterado en su perjuicio, retrasando la fecha de puesta en libertad, por la aplicación de un nuevo criterio jurisprudencial desfavorable al penado que atenta contra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amparo segundo, cuarto y quinto se aduce la vulneración del principio de legalidad penal (art. 25.1 CE, en conexión con el art. 9.3 CE), por la interpretación realizada por la Audiencia Nacional de los arts. 70.2 y 100 CP 1973 y el art. 988 de la Ley de enjuiciamiento criminal (LECrim), así como de los arts. 66 del Reglamento de prisiones de 1956 y del art. 202 del Reglamento penitenciario actual, en relación con el derecho a la libertad (art. 17.1 CE). Según el recurrente, la interpretación sentada por la Sala de lo Penal del Tribunal Supremo en su Sentencia núm. 197/2006 y aplicada en el presente caso por la Audiencia Nacional en las resoluciones judiciales impugnadas, es ajena al tenor literal de dichas normas, a las pautas axiológicas que conforman el ordenamiento constitucional y a los modelos de argumentación aceptados por la comunidad jurídica, y quiebra la interpretación jurisprudencial realizada al respecto a lo largo de toda la historia penitenciaria (conforme a la cual la redención de penas por el trabajo se abonaba al tiempo efectivo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se alega la vulneración del derecho a la igualdad en la aplicación de la ley (art. 14 CE), en relación con el art. 14 del Convenio europeo para la protección de los derechos humanos y las libertades fundamentales (CEDH), y con el derecho a la libertad (art. 17.1 CE), porque las resoluciones judiciales impugnadas incurren en un injustificado y arbitrario cambio de criterio al aplicar la Sentencia de la Sala de lo Penal del Tribunal Supremo núm. 197/2006, que se aparta de forma arbitraria e irrazonable de su consolidado criterio jurisprudencial precedente sobre el cómputo de la redención de penas por el trabajo,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CEDH y por el art. 14.1 y 5 del Pacto internacional de derechos civiles y políticos (PIDCP), todo ello en relación con el derecho a la libertad (art. 17.1 CE). Sostiene el recurrente que la Audiencia Nacional acordó en las resoluciones impugnadas la aplicación de la nueva doctrina de la Sala de lo Penal del Tribunal Supremo sentada en la Sentencia núm. 197/2006, que establece un nuevo criterio en cuanto al cómputo de las redenciones por trabajo que empeora la situación del reo y obliga al cumplimiento íntegro de la condena de treinta años, decisión de la que el recurrente no ha podido defenderse ni someterla a contradicción. Entiende además que ello vulnera el principio acusatorio, porque el órgano judicial asume funciones acusatorias constitucionalmente vedadas que comprometen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la vulneración del derecho a la libertad (art. 17.1 CE), en relación con los arts. 5 y 7.1 CEDH y los arts. 9.1 y 5 y 15.1 PIDCP, así como en conexión con el principio de orientación de las penas privativas de libertad a la reeducación y reinserción social (art. 25.2 CE). Tras resaltar que, conforme a la doctrina constitucional, la redención de penas por el trabajo afecta al derecho a la libertad personal, sostiene el recurrente, con cita del Voto particular a la Sentencia de la Sala de lo Penal del Tribunal Supremo núm. 197/2006, que el cambio de criterio jurisprudencial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Tercera de la Sala de lo Penal de la Audiencia Nacional para que en el plazo de diez días remitiera testimonio de las actuaciones correspondientes a la ejecutoria núm. 32-1993,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la formación de pieza separada para la tramitación del incidente sobre la suspensión solicitada y conceder al recurrente y al Ministerio Fiscal un plazo común de tres días para que alegasen lo que estimasen pertinente sobre dicha suspensión. Evacuado dicho trámite de alegaciones la Sala dictó el ATC 89/2012, de 21 de mayo, denegando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3 de mayo de 2012 se tuvieron por recibidos los testimonios de las actuaciones remitidos por la Sección Tercera de la Sala de lo Penal de la Audiencia Nacional y se procedió, conforme a lo establecido en el art. 52.1 LOTC, a dar vista de las actuaciones por plazo común de veinte días al Ministerio Fiscal y al demandante de amparo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presentó su escrito de alegaciones en este Tribunal el 28 de mayo de 2012, en el que ratifica las formuladas en la demanda de amparo, añadiendo que, en aplicación de la doctrina sobre un caso, que considera idéntico al suyo, contenida en la reciente STC 57/2012, de 29 de marzo, debe llegarse a la conclusión de que también en su caso se ha producido una vulneración del derecho a la intangibilidad de las resoluciones judiciales firmes, que forma parte del derecho a la tutela judicial efectiva garantizado por el art. 24.1 CE, en relación con el derecho a la libertad (art. 17.1 CE), lo que debe conducir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este Tribunal su escrito de alegaciones el 18 de junio de 2012. Considera en primer lugar el Fiscal que en el presente caso, y como ya se apreciara en casos similares al presente en SSTC 58/2012, 60/2012 y 63/2012, de 29 de marzo todas ellas, concurre el óbice de falta de agotamiento de la vía judicial [art. 44.1 a) LOTC, en relación con el art. 50.1 a) LOTC], lo que debe determinar la inadmisión del recurso de amparo. Ello es así por cuanto el demandante de amparo no recurrió en casación, conforme a lo exigido por el art. 988 LECrim, contra el Auto de la Sección Tercera de la Sala de lo Penal de la Audiencia Nacional de 17 de marzo de 2009 que desestimó el recurso de súplica interpuesto contra la providencia de 16 de febrero de 2009, que aprobaba la propuesta de licenciamiento definitivo para el 28 de junio de 2021, cuando resulta que desde el Auto del Tribunal Supremo de 7 de abril de 2008 era conocido que las resoluciones que aprueban las liquidaciones de condena y licenciamientos son recurribles en casación, como se recuerda en la citada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en el que no fuera apreciada la concurrencia de la causa de inadmisión señalada, el Fiscal interesa la denegación del amparo, por entender que las resoluciones impugnadas no infringen los derechos fundamentales invocados por el recurrente,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rechaza el Fiscal con cita de los razonamientos contenidos en la STC 55/2012, FJ 3, que se haya producido lesión alguna de los derechos fundamentales de naturaleza procesal que se invocan en la demanda de amparo y que esencialmente se centran en pretendida indefensión causada al recurrente por no haberle dado previa audiencia antes de dictar la providencia de 16 de febrero de 2009, que aplicó la doctrina de la Sentencia de la Sala Segunda del Tribunal Supremo núm.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de la demanda que se refieren a la cuestión de fondo, y que se centran en combatir la aplicación que han hecho las resoluciones impugnadas de la doctrina establecida en la Sentencia de la Sala Segunda del Tribunal Supremo núm. 197/2006, la cual imputa los beneficios penitenciarios a cada una de las condenas impuestas en el mismo o en diferentes procesos y no al límite de cumplimento de treinta años que establecía el art. 70.2 CP 1973, señala el Fiscal que también estas quejas deben ser descartadas, a la vista de la doctrina sentada, entre otras, en las SSTC 48/2012, FFJJ 4, 5 y 6, y 66/2012, FFJJ 5 y 6, que cita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 anterior doctrina constitucional al presente caso, y en particular por lo que se refiere a la alegada lesión del derecho a la tutela judicial efectiva en la vertiente del derecho de intangibilidad de las resoluciones firmes, señala el Fiscal que el pretendido efecto de intangibilidad en cuanto al criterio de cómputo de las redenciones por trabajo se predica por el recurrente del Auto firme de 6 de noviembre de 1996, que declaró que no procedía la revisión de la condena impuesta en la Sentencia de 24 de marzo de 2003, al considerar que más favorable el Código penal de 1973 que el Código penal de 1995. Ahora bien —continúa el Fiscal— lo cierto es que no es posible considerar que en dicho Auto se contenga una decisión sobre el modo de cómputo de los beneficios penitenciarios de redención de condena del art. 100 CP 1973, pues esta resolución se limita a realizar un análisis comparativo global de las penas señaladas en abstracto por los dos Códigos penales para las conductas por las que el recurrente había sido condenado y se concluye que siendo de aplicación los beneficios de condena del art. 100 CP 1973, las penas impuestas serían también imponibles según el nuevo Código penal de 1995. No se infringe, por ello, el principio de intangibilidad por las resoluciones judiciales impugnadas en amparo, que, acogiendo el criterio establecido en la Sentencia de la Sala Segunda del Tribunal Supremo núm. 197/2006, aprueban el licenciamiento definitivo del recurrente para el 28 de junio de 2021, puesto que tales resoluciones no revisan ninguna situación jurídica establecida en una anterior resolución firme sobre el cómputo y aplicación de los beneficios de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julio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17 de marzo de 2009 de la Sección Tercera de la Sala de lo Penal de la Audiencia Nacional, que desestimó el recurso de súplica presentado contra la anterior providencia de 16 de febrero de 2009 por la que se acordó fijar como fecha para el licenciamiento definitivo del recurrente el día 28 de junio de 2021, de conformidad con el criterio establecido por la Sentencia de la Sala de lo Penal del Tribunal Supremo núm. 197/2006, de 28 de febrero, según la cual, la redención de penas por el trabajo ha de computarse sobre cada una de las penas impuestas y no sobre el límite máximo de cumplimiento efectivo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 los derechos fundamentales a la tutela judicial efectiva en la vertiente de intangibilidad de las resoluciones judiciales firmes (art. 24.1 CE); a la legalidad penal (art. 25.1 CE en conexión con el art. 9.3 CE); a la defensa, a ser informado de la acusación y a un proceso con todas las garantías (art. 24.2 CE); a la igualdad en la aplicación de la ley (art. 14 CE); así como del principio de orientación de las penas privativas de libertad a la reeducación y reinserción social (art. 25.2 CE); todo ello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recurso de amparo por considerar incumplido el requisito del agotamiento de la vía judicial [arts. 44.1 a) y 50.1 a) de la Ley Orgánica del Tribunal Constitucional (LOTC)], y subsidiariamente su desestimación por entender que las resoluciones judiciales impugnadas no han vulnerado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reiteradamente declarado,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actuaciones conduce a apreciar la concurrencia del óbice aducido por el Ministerio Fiscal en su escrito de alegaciones, a la vista de lo declarado por el Pleno de este Tribunal en casos similares en las recientes SSTC 58/2012, 60/2012 y 63/2012, todas ellas de 29 de marzo, lo que determina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demandante de amparo impugna la providencia de 16 de febrero de 2009 de la Sección Tercera de la Sala de lo Penal de la Audiencia Nacional, por la que se aprueba su licenciamiento definitivo para el día 28 de junio de 2021, resolución confirmada en súplica mediante el Auto de 17 de marzo siguiente, igualmente impugnado en amparo. Ahora bien, el recurrente acude directamente ante este Tribunal sin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casi un año antes de dictarse las resoluciones impugnadas en amparo mediante el Auto de la Sala de lo Penal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no podía ser ignorada tanto tiempo después por la representación procesal y la defensa letrada del demandante de amparo (SSTC 58/2012, FJ 3; 60/2012, FJ 3 y 63/2012, FJ 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Ignacio Pujana Alberdi.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