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agosto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6485-2010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6485-2010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6485-2010.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6 de septiembre de 2010, la Procuradora de los Tribunales doña María Teresa Vidal Bodí, en nombre y representación de doña María Jesús Aneiros Martínez, doña Lucía Fidalgo Aneiros y doña Begoña Fidalgo Aneiros, y bajo la dirección del Letrado don Jose Luis Piñeiro Vidal, interpuso recurso de amparo contra el Auto de la Sección Primera de la Audiencia Provincial de Pontevedra de 8 de julio de 2010, dictado en el rollo de Sala núm. 443-2010, por el que se desestima el recurso de queja interpuesto contra el Auto del Juzgado de lo Mercantil núm. 2 de Pontevedra de 19 de abril de 2010, por el que se desestima el recurso de reposición interpuesto contra el Auto de 22 de marzo de 2010, dictado en la pieza sexta del procedimiento concursal abreviado núm. 128-2008, por el que se acuerda no tener por preparado el recurso de apelación interpuesto contra la Sentencia de 11 de febrero de 2010, por falta de depósito para recurrir.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tercero la suspensión de la ejecución de las resoluciones recurridas, argumentado que no se está ante una resolución judicial de contenido económico y que no existe ningún particular cuyos intereses puedan resultar afectados si se suspende la ejecución de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5 de julio de 2012,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24 de julio de 2012, presentó alegaciones interesando que se denegara la suspensión solicitada. A esos efectos, argumenta, por un lado, que las resoluciones impugnadas tienen un contenido meramente negativo al acordar no tener por preparado el recurso de apelación, por lo que conforme a una consolidada doctrina constitucional no sería susceptible de suspensión al equivaler dicha decisión al adelantamiento de un eventual fallo estimatorio. Por otro lado, también pone de manifiesto que la denegación de la suspensión no haría perder al amparo su finalidad ya que, en caso de estimarse el recurso, el restablecimiento del derecho podría lograrse declarando la nulidad de las resoluciones y la retroacción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recurrentes, por escrito registrado el 16 de julio de 2012, presentaron alegaciones insistiendo en la necesidad de la suspensión de las resoluciones impugnadas para evitar que se irroguen daños y perjuicios de difícil reparación y reiterando que dicha suspensión no produciría perjuicios a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si bien se consagra como limitación a esa facultad que “la suspensión no ocasione perturbación grave a un interés constitucionalmente protegido, ni a los derechos fundamentales o libertades públicas de otra persona”. De ello se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un interés constitucionalmente protegido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esta doctrina, el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de tal modo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(por todos, ATC 30/2011, de 28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también se ha hecho especial incidencia, por un lado, en que la acreditación del perjuicio es carga del recurrente, quien debe precisar los concretos perjuicios que de la ejecución se deriven, así como justificar o argumentar razonadamente la irreparabilidad de los mismos (por todos, ATC 199/2010, de 21 de diciembre, FJ 3) y, por otro, que las resoluciones judiciales de mero contenido negativo, como son la que cierran la posibilidad a continuar con un procedimiento o acceder a un recurso, no son susceptibles de suspensión, puesto que de lo contrario equivaldría a adelantar un eventual fallo estimatorio del recurso (por todos, STC 56/2012, de 26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las recurrentes solicitan la suspensión de la decisión judicial por la que se acuerda no tener por preparado un recurso de apelación argumentando que no se está ante una resolución judicial de contenido económico y que no existe ningún particular cuyos intereses puedan resultar afectados si se suspende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procede acceder a la suspensión solicitada, ya que, al margen de tratarse de una decisión de contenido negativo, por lo que la suspensión supondría el adelantamiento de un eventual fallo estimatorio, las recurrentes no han cumplido con la carga que les incumbe de justificar y argumentar razonadamente los concretos perjuicios que se derivarían de la circunstancia de mantener por el momento la imposibilidad de formular recurso de apelación. En cualquier caso, además, tampoco cabe apreciar que la denegación de la suspensión sea susceptible de hacer perder al amparo su finalidad ya que, como destaca el Ministerio Fiscal, en caso de estimarse el presente recurso el restablecimiento pleno del derecho podría lograrse declarando la nulidad de las resoluciones y la retroacción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 de vacaciones</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6485-2010.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agosto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