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5297-2000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planteada por don Andrés Ollero Tassara en el recurso de inconstitucionalidad núm. 5297-2000, apartándole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Ante este Tribunal se sigue el recurso de inconstitucionalidad núm. 5297-2000, promovido por don Álvaro Lapuerta Quintero, comisionado por ochenta y tres diputados del Grupo Parlamentario Popular del Congreso contra la Ley Foral 6/2000, de 3 de julio, del Parlamento de Navarra, para la igualdad jurídica de las parejas estables, por posible vulneración de los arts. 9.3, 10.1, 14, 18.1, 32, 39 y 149.1, 1 y 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2 de octubre de 2012, dirigido al Excmo. Sr. Presidente del Tribunal Constitucional, el Magistrado don Andrés Ollero Tassara comunicó a los efectos oportunos que, a la vista del art. 80 de la Ley Orgánica del Tribunal Constitucional, en conexión con el art. 219.13 de la Ley Orgánica del Poder Judicial, le parecía obligado plantear su abstención en la deliberación de dicho recurso ante el Pleno por haber figurado como firmante del presente recurso de inconstitucionalidad, para que éste pudiera decidir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el Magistrado don Andrés Ollero Tassara, en virtud de lo previsto en el art. 80 de la Ley Orgánica del Tribunal Constitucional y en el art. 219.13 de la Ley Orgánica del Poder Judicial, procede estimar la causa de abstención planteada, puesto que el mencionado Magistrado figuró como firmante del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planteada por don Andrés Ollero Tassara en el recurso de inconstitucionalidad núm. 5297-2000, apartándole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