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31 de enero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Trias,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8928-2006, promovido por don Pablo Queralto Gómez, representado por el Procurador de los Tribunales don Alberto Hidalgo Martínez y asistido por el Abogado don Antonio Villar Rodríguez, contra la Sentencia núm. 279/2006, de 20 de julio, dictada por la Sección Segunda de la Audiencia Provincial de Madrid, recaída en el recurso de apelación núm. 148-2005, que revoca la Sentencia absolutoria núm. 353/2004, de 3 de septiembre, dictada por el Juzgado de lo Penal núm. 19 de Madrid en el procedimiento abreviado núm. 423-2003, condenando al recurrente como autor de dos delitos de homicidio imprudente en concurso con un delito contra la seguridad de los trabajadores, a la pena privativa de libertad de dos años y seis meses de prisión, con inhabilitación especial para el ejercicio de la profesión de arquitecto técnico durante el mismo tiempo, así como al pago de una indemnización. Han comparecido los Procuradores don Juan Escrivá de Romaní, doña María Luisa López-Puigcerver Portillo, doña María Salud Jiménez Muñoz, don Jorge Laguna Alonso y doña Teresa Puente Méndez. Ha intervenido el Ministerio Fiscal. Ha sido Ponente el Magistrado don Ramón Rodríguez Arribas,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27 de septiembre de 2006, el Procurador de los Tribunales don Alberto Hidalgo Martínez, en representación de don Pablo Queralto Gómez y asistido por el Abogado don Antonio Villar Rodríguez, interpuso recurso de amparo contra las resoluciones reseñadas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del Juzgado de lo Penal núm. 14 de Madrid de 3 de septiembre de 2004 absolvió al demandante de amparo de dos delitos de homicidio imprudente y un delito contra la seguridad de los trabajadores, de los que venía siendo acusado. Los hechos probados de dicha resolución relatan que en mayo de 2001 dos trabajadores —uno empleado de la compañía Madrileña de Alquiler de Maquinaria y otro de Adia Intergroup ETT, S.A.— cuando se encontraban trabajando en una obra para la empresa Cogeinsa, de la que era jefe de obra el acusado, desmontando un andamio motorizado cayeron al vacío desde una altura de 25 metros, al volcarse la plataforma en la que se hallaban. El uso de tales andamios no estaba previsto en el plan de seguridad y salud de la obra realizado por Cogeinsa y no se había dispuesto el uso de equipos de protección individual como cinturón o arnés. Además, uno de los operarios carecía de experiencia previa sobre ese tipo de maquinaria. El accidente se atribuyó a que, debiendo desmontarse el andamio por tramos, descendiendo de una plataforma a otra, al encontrarse en uno de los tramos en lugar de desmontarlo y bajar, por error de alguno de los operarios la plataforma ascendió y al colocarse sobre el mismo, cayó a tierra con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absolución del recurrente, junto a la de otros coimputados, se fundó en que con arreglo al Real Decreto 1627/97, de 24 de octubre “la función de elaborar el Plan de Seguridad no les corresponde al existir un coordinador de seguridad [por] lo que no se les considera responsables del fallecimiento. Ello es así toda vez que si bien es cierto que la dirección facultativa tiene funciones en la seguridad y que en cualquier caso deben velar por la misma, en el presente supuesto el accidente no era fácilmente previsible con un contacto a simple vista, sino que requería un estudio del andamio con sus riesgos de manejo a prever en el Estudio previo, por lo que aunque hubieran realizado visitas diarias y controlado todos los trabajos, al no tener una intervención directa en el referido Plan no podían prever el mismo y se hubiera evitado solo a través de una especial cautela no exigible en los mismos por lo menos a efectos penales”. Además, se añade que el recurrente no recibió las instrucciones de seguridad.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Recurrida en apelación, la Sentencia del Juzgado de lo Penal fue revocada por la Sentencia de la Audiencia Provincial de Madrid de 20 de julio de 2006, que, previa celebración de vista oral, condenó al demandante de amparo como autor de dos delitos de homicidio imprudente en concurso con un delito contra la seguridad de los trabajadores, a la pena de dos años y seis meses de prisión con inhabilitación especial para el ejercicio de la profesión de arquitecto técnico durante el mismo tiempo. En la celebración de vista, previa admisión de la prueba solicitada por una de las partes por Auto de 8 de noviembre de 2005, se citó a los acusados y a dos peritos que ya habían declarado en la vista celebrada ante el Juzgado de lo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modificó el relato de hechos probados, fijando, en lo que es relevante para la presente demanda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“es arquitecto técnico y jefe de obra del bloque en el que se encontraban los [operarios fallecidos] desmontando los andamios utilizados a pesar de no estar incluidos en el plan de seguridad”. El recurrente “dio la orden de desmontaje de los andamios, sin preocuparse de la preparación y conocimientos técnicos de quienes iban a realizar la operación y sin darles instrucciones de ninguna clase”.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jurídica de la Sentencia, se motivaba la responsabilidad penal del recurrente en los siguientes términos: “entiende el Tribunal que este acusado es responsable de los dos delitos de homicidio imprudente y del delito contra la seguridad en el trabajo, al concurrir en el mismo la condición de sujeto obligado a velar por la seguridad de los trabajadores y por haber infringido este deber de cuidado. El Sr. Queralto Gómez es arquitecto técnico de profesión, empleado de Cogeinsa, que en la obra de la c/ Julián Camarillo desempeñaba las funciones de jefe de obra en el bloque en el que tuvo lugar el accidente mortal … Por su cualificación profesional y su cargo en aquella obra en concreto tenía el deber de velar por la seguridad, en este sentido hay que destacar que también tenía la facultad de paralizar los trabajos prevista en el art. 14 del R.D. 1.627/1.997; a pesar de ello se desentendió por completo de la seguridad en el trabajo. No sólo eso, sino que el Sr. Queralto dio la orden de desmontaje de los andamios por dos operarios sin preocuparse mínimamente de las condiciones de seguridad de dichos operarios, ni de la capacitación de los operarios para realizar la labor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facultades de revisión de una absolución en segunda instancia, manifiesta el órgano de apelación en su Sentencia que “el muy variado contenido de los siete recursos, replanteando en esta segunda instancia prácticamente todas las cuestiones debatidas en el acto del juicio, obliga a este Tribunal a realizar un nuevo juicio completo y de este modo dar respuesta a las distintas peticiones formuladas por los apelantes”. Invocando al respecto las SSTC 167/2002, de 18 de septiembre, y 338/2005, de 20 de diciembre, asume la Audiencia Provincial que está facultada para revisar sin inmediación la corrección lógica de los razonamientos sobre la valoración de la prueba, por lo que la inmediación no ha de jugar un papel limitador en tales casos. En cualquier caso, manifiesta que “de acuerdo con el criterio marcado por la doctrina iniciada por la STC 167/2002 y a petición de una de las acusaciones particulares … se convocó una vista en la que los acusados tuvieron la oportunidad de ser oídos y se practicó la única prueba viable, es decir, la prueba solicitada al Tribunal (pues, obviamente, no es posible practicar pruebas no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 los derechos a un proceso con todas las garantías (art. 24.2 CE), a la presunción de inocencia (art. 24.2 CE), en relación con los principios de legalidad y seguridad jurídica (art. 9.3 CE), y al derecho a la legalidad penal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 motivo de amparo invoca la doctrina iniciada con la STC 167/2002, de 18 de septiembre, con cita de buen número de Sentencias de este Tribunal, para denunciar que por la Audiencia Provincial se ha revocado un pronunciamiento absolutorio sin respetar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motivo de amparo comienza reprochando al órgano de apelación que haya acordado la práctica de diversos medios de prueba en segunda instancia, mediante Auto de 8 de noviembre de 2005, sin someterse a la limitación establecida en el art. 790.3 de la Ley de enjuiciamiento criminal. Concretamente, acordó la admisión del interrogatorio de los acusados y de algunos peritos que ya habían declarado en el juicio celebrado en primera instancia, lo que impedía que pudieran repetirse ante el órgano ad quem, según dispone el citado precepto. Considera el recurrente que ello es contrario al principio de legalidad (art. 9.3 CE). Afirma, además, que por esa razón cuando fue citado al acto del juicio celebrado en segunda instancia, el recurrente ejerció su derecho a no declarar, ratificando sus declaraciones anteriores. Como segunda vertiente del motivo de amparo, en la que denuncia la vulneración del derecho a la presunción de inocencia (art. 24.2 CE), aduce que, dadas las limitaciones de cognición inherente al órgano de segunda instancia, el Tribunal no ha dictado su resolución condenatoria con base en una actividad probatoria que pueda considerarse de cargo. Afirma además que la conclusión a que llega la Audiencia Provincial sobre que el recurrente dio orden de desmontaje de los andamios sin preocuparse mínimamente de las condiciones de seguridad de los operarios ni de su capacitación es una mera presunción contra el reo que no está sostenida en prueba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motivo de amparo que denuncia la lesión del derecho a la legalidad penal (art. 25.1 CE) se fundamenta en que por la Audiencia Provincial se le atribuyó al actor, además de la de jefe de obra, la condición de arquitecto técnico, lo que carece de base probatoria, no resultando acorde al derecho invocado atribuir al recurrente los deberes inherentes al cuerpo de técnicos componentes de la dirección facultativa de la obra. Así, el actor realizaba exclusivamente la función de empleado de la empresa Cogeinsa como jefe de obra, y el art. 14 del Real Decreto 1627/1997 no le atribuye la facultad de paralizar las obras, pues en dicho precepto sólo se contempla al coordinador en materia de seguridad y salud o a quienes estén integrados en la dirección facultativa. Por ello, la extensión al recurrente de las obligaciones de facilitar las medidas a que se refiere el art. 316 del Código penal supuso una extensión analógica de la ley. Por último, denuncia asimismo que la imposición de la pena no está debidamente motivada, habiendo incurrido además en un diferente trato punitivo con relación al resto de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2007, la sección Cuarta de este Tribunal acordó, de conformidad con lo dispuesto en el art. 50.3 de la Ley Orgánica del Tribunal Constitucional (LOTC), en la redacción anterior a la actualmente vigente, conceder al demandante de amparo y al Ministerio Fiscal un plazo común de diez días para que formularan, con las aportaciones documentales procedentes, las alegaciones que estimaran pertinentes en relación con la lo dispuesto en el art. 50.1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29 de noviembre de 2011, evacuó el precitado trámite el recurrente de amparo, en el que, sustancialmente, reiteró lo expuesto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30 de noviembre de 2007 se registró la entrada del escrito de alegaciones del Ministerio Fiscal, en el que proponía la admisión a trámite de la demanda. Basaba su propuesta en la posible existencia de contenido constitucional del primer motivo de amparo, por cuanto en la lectura de la Sentencia de la Audiencia Provincial no se proporcionaban datos para saber si la celebración de vista ante el órgano ad quem había permitido a este oír los testimonios en cuya valoración que ha fundado su reformulación de los hechos probados.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de este Tribunal, por providencia de 15 de septiembre de 2009, y una vez recibidas las actuaciones, acordó admitir a trámite la demanda de amparo y, en aplicación de lo dispuesto en el art. 51 LOTC, dirigir atentas comunicaciones a los órganos judiciales competentes para el emplazamiento a quienes hubieran sido parte en el procedimiento, a excepción del demandante de amparo, a fin de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el Auto de 1 de febrero de 2010, acordando otorgar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4 de diciembre de 2009 se tuvo por personado y parte en el procedimiento a la Procuradora doña María Salud Jiménez Muñoz, en nombre y representación de don Jacinto Calvente Crespo, a la Procuradora doña Teresa Puente Méndez, en nombre y representación de don Emilio Antonio Rodríguez Castelló, a la Procuradora doña María Dolores Maroto Gómez, en nombre y representación de Unión Sindical Madrid-Región (USMR CCOO), al Procurador don Jorge Laguna Alonso, en nombre y representación de don Felipe Espinosa Prieto, y al Procurador don Juan Escrivá de Romaní, en nombre y representación de doña María del Carmen Martínez Soriano; asimismo se tuvo por personada y parte a la Procuradora doña María Luisa López-Puigcerver Portillo, en nombre y representación de don Juan Ángel Baigorri Aguirre, condicionado a que en el plazo de diez días presentara el poder para pleitos original que acredite la representación que dice ostentar.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se acordó dar vista de las actuaciones recibidas al Ministerio Fiscal y a las restantes partes personadas por plazo común de veinte días para presentar las alegaciones que estimase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19 de enero de 2010, el Ministerio Fiscal presentó escrito de alegaciones solicitando la desestimación de la demanda de amparo. En relación con el primer motivo de amparo, argumenta que, si bien la Sentencia de apelación realiza una reformulación parcial de los hechos probados, no conlleva una alteración sustancial de los mismos sino que tal modificación se presenta con carácter complementario. En concreto, se incluye que la cualificación profesional del recurrente —arquitecto técnico— y que fue la persona que dio la orden de desmontaje del andamio, añadiendo dos datos adicionales: que no se preocupó de contrastar la preparación y conocimientos técnicos de los operarios que iban a realizar la operación de desmontaje, y que no les dio instrucciones de ninguna clase. Tras poner de manifiesto que la parquedad justificativa de la Sentencia impugnada obliga a indagar en las actuaciones al objeto de determinar en qué medios de prueba se basó la Audiencia Provincial para fundar la modificación de hechos probados, concluye el Ministerio Fiscal que, de una parte, la conclusión a que llega de que su condición como jefe de obra le obligaba, según el art. 14 del Real Decreto 1627/1997, a velar por la seguridad de los trabajadores no es una valoración de prueba personal sino una distinta inferencia; de otra, las restantes conclusiones las obtiene el órgano judicial de las propias declaraciones del acusado y de otro testigo prestadas en fase de instrucción y en el juicio celebrado en primera instancia, juicio de valoración que estaba permitido al órgano de apelación a partir de la presencia en el juicio celebrado ante el órgano ad quem del propio acusado, quien se ratificó en sus anteriores declaraciones, máxime teniendo en cuenta que en tal valoración no existe una revisión de la credibilidad de los testimonios. En definitiva, manifiesta el Ministerio público que, partiendo del mismo material probatorio, sin discrepancias en términos de credibilidad, el órgano de apelación llega a conclusiones distintas acerca de las obligaciones legales del demandante de amparo, sin que ello suponga una extralimitación de sus facultades contraria a la doctrina constitucional establecida en la STC 167/2002, de 18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relación al segundo motivo de amparo, manifiesta el Fiscal que dicha queja carece de toda relevancia constitucional. Respecto de la prueba pericial admitida, la misma no fue tenida en cuenta para fundar el pronunciamiento condenatorio y, respecto de la declaraciones de los coacusados, la STC 16/2009, con mención de la STC 48/2008, ya afirmó que no forma parte de la competencia del Tribunal Constitucional la interpretación que haya de darse a la legalidad procesal, y que la comparecencia de los acusados no comporta quiebra alguna del art. 24.2 CE. También debe desestimarse el motivo que denuncia la vulneración del derecho a la presunción de inocencia (art. 24.2 CE), puesto que la condena está sostenida en prueba de cargo suficiente; concretamente, en la inferencia obtenida de las declaraciones del propio recurrente y de otro testigo, que no puede considerarse arbitraria ni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motivo de amparo basado en la lesión del derecho a la legalidad penal (art. 25.1 CE), considera el Ministerio Fiscal que buena parte de su base argumental habría de encauzarse desde el análisis del derecho a la presunción de inocencia, si bien, en todo caso, no se constata una aplicación analógica de la legalidad. Por último, en relación con la otra vertiente de la queja, referida a la ausencia de motivación de la individualización de la pena, concluye el Fiscal que la opción del órgano judicial de imponer la pena mínima de prisión neutraliza tal reproche; y por lo que se refiere a la pena de inhabilitación, el órgano ad quem razona su imposición dada la íntima relación existente entre el ejercicio de su profesión y la comisión del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19 de enero de 2010, la representación procesal de don Emilio Antonio Rodríguez Castelló presentó escrito de alegaciones, en el que mostró su conformidad con el contenido de la demanda de amparo y, remitiéndose a las alegaciones formuladas en su escrito de personación, manifestó que debe estimarse la demanda de amparo, alcanzando sus efectos a la parte personada, por haber sido parte coadyuvante y haber presentado demanda de amparo en idénticos términos, que fue inadmitida por el Tribunal Constitucional. Asimismo, reiteró la solicitud de suspensión de la pena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27 de enero de 2010, la Secretaría de Justicia de la Sala Segunda acordó que, en relación con la solicitud de suspensión, se estuviera a lo acordado en resoluciones de 4 de diciembre de 2009 y 4 de enero de 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19 de enero de 2010, la representación procesal de doña María del Carmen Martínez Soriano solicitó que se desestimara la demanda de amparo, en la consideración de que la condena impuesta no se ha basado en la valoración de pruebas personales sino en base a un distinto procedimiento deductivo que el seguido por el juzgador a quo, y porque la condena está sostenida en prueba de cargo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el 19 de enero de 2010, la representación procesal de don Juan Ángel Baigorri manifestó estar en absoluta conformidad con el contenido de la demanda de amparo, aduciendo que la estimación de la demanda de amparo supondría la declaración de nulidad de la Sentencia recurrida, teniendo efectos sobre todos los condenados.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registrado en idéntica fecha, la representación procesal de don Jacinto Calvete Crespo se ratificó en el contenido de su escrito de personación, en el que, manifestando que se interpuso recurso de amparo basado en idénticos motivos que el presente, el cual fue inadmitido por providencia de 12 de septiembre de 2007, solicitó el otorgamiento del amparo y que sus efectos alcanzaran a las partes coadyuvantes.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escrito registrado en idéntica fecha, la representación procesal de don Felipe Espinosa Prieto hizo suyos los motivos de amparo formulados en la demanda, denunciando además la vulneración de sus derechos fundamentales a un proceso con todas las garantías, a la defensa y a la presunción de inocencia, y solicitó la estimación de la demanda de amparo y el restablecimiento de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Pleno por providencia 3 de julio de 2012, acordó recabar para sí el conocimiento del recurso de amparo que se tramita en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29 de enero de 2013, se señaló para votación y fallo de la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el 20 de julio de 2006 por la Sección Segunda de la Audiencia Provincial de Madrid que, revocando la Sentencia absolutoria de 3 de septiembre de 2004 dictada por el Juzgado de lo Penal núm. 19 de Madrid, condena al recurrente como autor de dos delitos de homicidio imprudente en concurso con un delito contra la seguridad de los trabajadores. Se funda la demanda en la vulneración del derecho a un proceso con todas las garantías (art. 24.2 CE), al no haberse respetado las garantías de inmediación y contradicción en la valoración de las pruebas en segunda instancia que sustentan la condena, conforme a lo exigido por la STC 167/2002, de 18 de septiembre, y las que posteriormente aplican esta doctrina, en la vulneración del derecho a la presunción de inocencia (art. 24.2 CE) y en la del derecho a la legalidad penal (art. 25.1 CE). El Ministerio Fiscal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poner de manifiesto que en ningún caso sería posible acceder a la pretensión formulada por distintas partes personadas de que los efectos de un eventual otorgamiento del amparo se extiendan a la nulidad de sus condenas dictadas en la Sentencia que ahora se recurre. Como recuerda la STC 16/2009, de 26 de enero,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(FJ 1). Así, quienes no interpusieron recurso de amparo dentro del plazo legal, lo hicieron en términos inadmisibles o, como acontece en el presente caso, han visto inadmitidos los recursos de amparo que en su momento interpusieron,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(STC 16/2009, de 26 de enero, FJ 1, citando, entre otras, las SSTC 241/1994, de 20 de julio, FJ 3; 192/2004, de 2 de noviembre, FJ 5; o 145/2005, de 6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 motivo de amparo denuncia que la revocación de la absolución acordada en segunda instancia por el órgano de apelación ha supuesto la vulneración del derecho a un proceso con todas las garantías, al no haberse respetado las garantías de inmediación y contradicción (art. 24.2 CE). En conexión con esta queja, se objeta además que por el órgano judicial de apelación se haya procedido a celebrar vista en segunda instancia infringiendo las limitaciones legales dispuestas en el art. 790.3 de la Ley de enjuiciamiento criminal (LECrim), alegación cuyo análisis resulta procedente abordar con carácter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rechazar el citado reproche bastará con remitirnos a lo que, ante una queja similar acordamos en la STC 91/2009, 26 de enero, al afirmar que “[n]inguna relevancia constitucional tiene, en segundo lugar, el hecho en sí de que el Tribunal de apelación decidiera la comparecencia de los acusados. Conviene recordar, con la Sentencia de Pleno STC 48/2008, de 11 de marzo, que ‘[no] forma parte de nuestra competencia la de interpretación de las normas procesales que rigen la prueba ni, en concreto, en lo que ahora importa, qué pruebas deben practicarse en la apelación penal a partir de la dicción de los apartados 2 y 3 del art. 790 LECrim’ (FJ 3) y, en relación con la STC 167/2002 ‘y las numerosas Sentencias que han aplicado y perfilado su doctrina en torno a la garantías procesales de inmediación y contradicción’, no es el objeto de la misma ‘el análisis constitucional de los supuestos en los que se puede apelar, o las razones por las que puede hacerse, o los casos en los que la revisión debe conformar la práctica y la valoración de la prueba. Su objeto es, sencilla pero trascendentalmente …) el de afirmar que, para justificar una condena, no cabe valorar una prueba de cargo sin inmediación, y tampoco sin contradicción y publicidad … puesto que éstas constituyen garantías esenciales de la ‘corrección de la valoración’ (FJ 4). Del mismo modo que esta doctrina ‘no comporta que deban practicarse necesariamente nuevas pruebas en apelación cuando los recurrentes cuestionen los hechos declarados como probados, cuestión que sólo al legislador corresponde decidir en su competencia de configuración de los recursos penales, sino únicamente que al órgano judicial le está vedada la valoración de las pruebas personales que no se hayan practicado ante él’ (FJ 5), tampoco comporta, obvio es decirlo, que no puedan practicarse pruebas en apelación; del mismo modo que ‘[e]n la STC 167/2002 … este Tribunal no ha venido a cuestionar por constitucionalmente insuficiente el ámbito de la apelación penal en nuestro Ordenamiento jurídico, sino sólo a exigir que en su desarrollo se observen las garantías constitucionales’, obvio es que tampoco ha venido a cuestionarlo por excesivo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doctrina determina, pues, que la comparecencia y declaración de los acusados en la apelación no supone en sí misma quiebra alguna del art. 24.2 CE, al no constituir ni una práctica vetada por la Constitución ni el fruto de una interpretación intolerable de la Ley de enjuiciamiento criminal, sino al contrario. Es más, cuando se practique prueba en apelación, podrá resultar en ciertos casos constitucionalmente obligada aquella comparecencia como exigencia de la garantía de contradicción o del derecho de defensa. Como indicaba la STC 48/2008, de 11 de marzo, “‘la de inmediación no es la única garantía constitucional del proceso que debe respetarse en fase de apelación. Deben respetarse todas las garantías del proceso, pues sin ellas no se dan los presupuestos mínimos para la defensa y para la corrección de las constataciones y valoraciones judiciales … La preservación de tales garantías podrá comportar desde la perspectiva de las garantías constitucionales que, cuando proceda legalmente la práctica de prueba de cargo en apelación para que el órgano de apelación proceda con inmediación y contradicción a la valoración de la misma, deba practicarse otro tipo de pruebas imprescindibles para confrontar las primeras y, singularmente, la declaración del acusado’ (FJ 6)” (STC 16/2009, de 26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añadimos ahora, la manera de hacer compatibles la Jurisprudencia constitucional, dictada en aplicación de doctrina del Tribunal Europeo de Derechos Humanos sobre la exigencia de inmediación en la valoración de las pruebas incriminatorias de naturaleza personal en la apelación de Sentencias absolutorias en la instancia, por un lado, y el precepto limitador de dichas pruebas del art. 790.3 LECrim por otro, es considerar que, como ha venido a entender la Sala sentenciadora, cuando la pretensión revocatoria del fallo absolutorio se funda en una nueva valoración de dichas pruebas personales ya practicadas, puede facilitarse la inmediación del órgano de apelación, citando a la vista a los intervinientes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ninguna vulneración constitucional del derecho a un proceso con todas las garantías de inmediación y contradicción (art. 24.2 CE) puede apreciarse en el proceder de la Audiencia Provincial, que consideró necesario convocar una vista oral, a los efectos de oír a los acusados y a los peritos cuya presencia fue solicitada por una de las partes apelantes, precisamente con la finalidad de cumplir con los requerimientos establecidos por la doctrina constitucional inaugurada por la STC 167/2002, de 18 de septiembre —tal como expresamente se motiva en la Sentencia impugnada—, a partir de un entendimiento no arbitrario ni irrazonable de la misma y en el ejercicio de su exclusiva competencia para interpretar la legalidad procesal, de la que forma parte el art. 791.1 de la Ley de enjuiciamiento criminal, que permite la celebración de vista “cuando, de oficio o a petición de parte, la estime el Tribunal necesaria para la correcta formación de una convicción fundada”. Dicha vista fue convocada por el órgano jurisdiccional con la finalidad de que los acusados tuvieran la oportunidad de ser oídos, y en su transcurso se practicó la única prueba viable, la solicitada al Tribunal. Este escrupuloso y correcto proceder, a los efectos constitucionales de la garantía del principio de inmediación, no puede ser merecedor de reproche alguno y determina que debamos descartar la vulneración de los derechos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anterior, el siguiente paso de nuestro enjuiciamiento habría de ser el primer motivo de amparo, referido a la vulneración del derecho a un proceso con todas las garantías (art. 24.2 CE) por haberse revocado una absolución a partir de una nueva valoración de pruebas personales sin las garantías de inmediación y contradicción. No obstante, es preciso anticipar que la ausencia de motivación sobre la valoración de la prueba en que incurre la Sentencia de la Audiencia Provincial nos va a impedir disponer de los necesarios elementos de juicio para abordar el análisis relativo a si la condena del actor se ha fundado en un distinto juicio sobre la credibilidad de los testimonios al efectuado por el órgano de primera instancia, supuesto en el que, con arreglo a la consolidada doctrina desarrollada por este Tribunal a partir de la STC 167/2002, de 18 de septiembre, procedería declarar la vulneración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al respecto la STC 135/2011, de 12 de septiembre, que “nuestra doctrina sobre las condenas penales en segunda instancia previa revocación de un pronunciamiento absolutorio, que se inicia en la STC 167/2002, de 18 de septiembre (FFJJ 9 a 11), y ha sido reiterada en numerosas Sentencias posteriores (entre las más recientes SSTC 21/2009, de 26 de enero, FJ 2; 24/2009, de 26 de enero, FJ 2; y 118/2009, de 18 de mayo, FJ 3), señala que ‘el respeto a los principios de publicidad, inmediación y contradicción, que forman parte del contenido del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En aplicación de esta doctrina hemos dicho que el respeto a los principios de publicidad, inmediación y contradicción exige que el Tribunal de apelación oiga personalmente a los testigos, peritos y acusados que hayan prestado testimonio y declaración en el acto del juicio, dado el carácter personal de estos medios de prueba, a fin de llevar a cabo su propia valoración y ponderación y corregir la efectuada por el órgano de instancia. Habiéndose enfatizado que el órgano de apelación no puede operar una modificación de los hechos probados que conduzca a la condena del acusado si tal modificación no viene precedida del examen directo y personal de los acusados o testigos en un debate público en el que se respete la posibilidad de contradicción (SSTC 170/2005, de 20 de junio, FJ 2, 164/2007, de 2 julio, FJ 2, y 60/2008, de 26 de mayo, FJ 5). De acuerdo con esa misma jurisprudencia, la constatación por las indicadas razones de la vulneración del derecho a un proceso con todas las garantías (art. 24.2 CE) determina también la del derecho a la presunción de inocencia (art. 24.2 CE), si los aludidos medios de prueba indebidamente valorados en la segunda instancia son las únicas pruebas de cargo en las que se fundamenta la condena (SSTC 90/2006, de 27 de marzo, FJ 3; 95/2006, de 27 de marzo, FJ 1; 217/2006, de 3 de julio, FJ 1; 309/2006, de 23 de octubre, FJ 2; 360/2006, de 18 de diciembre, FFJJ 3 y 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201/2012, de 12 de noviembre, FJ 4, por su parte, ha reiterado, por lo que respecta a las posibilidades de celebración de vista oral en segunda instancia, que “para justificar una condena, no cabe valorar una prueba de cargo sin inmediación, y tampoco sin contradicción y publicidad”.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expuesto en los antecedentes, la Audiencia Provincial modificó parcialmente los hechos declarados probados por el órgano de primera instancia, añadiendo que el recurrente era arquitecto técnico de profesión y que dio la orden de desmontaje de los andamios, sin preocuparse de la preparación y conocimientos técnicos de quienes iban a realizar la operación y sin darles instrucciones de ninguna clase. Junto a esa modificación, el órgano de apelación concluyó —discrepando de las conclusiones a que había llegado el órgano a quo— que al recurrente le era exigible velar por la seguridad de los trabajadores y que infringió el deber de cuidado del que era competente. Concretamente, se afirma en la Sentencia combatida que “por su cualificación profesional y su cargo en aquella obra en concreto tenía el deber de velar por la seguridad, en este sentido hay que destacar que también tenía la facultad de paralizar los trabajos prevista en el art. 14 del Real Decreto 1627/1997; a pesar de ello se desentendió por completo de la seguridad en el trabajo. No sólo eso, sino que el Sr. Queralto dio la orden de desmontaje de los andamios por dos operarios sin preocuparse mínimamente de las condiciones de seguridad de dichos operarios, ni de la capacitación de los operarios para realizar la labor encomendada”.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 las consideraciones de que el recurrente era, en su condición de jefe de obra, uno de los sujetos obligados a velar por las condiciones de seguridad en el trabajo, y que según la citada normativa tenía la facultad de paralizar los trabajos, constituyen manifestaciones de una divergente interpretación de la legalidad aplicable al caso concreto que, en cuanto no conlleva una distinta fijación de los hechos ni, por descontado, presupone una valoración de pruebas personales, ha de entenderse plenamente acorde al derecho fundamental invocado. De igual modo, tampoco la inclusión en el relato fáctico de la cualificación profesional del actor se revela contraria a las garantías constitucionales, puesto que constituye un dato obtenido a partir de prueba documental cuyo análisis no precisa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dudas se proyectan en torno a las conclusiones de carácter fáctico referidas a que el actor no se preocupó de la preparación y conocimientos técnicos de los operarios encargados del desmontaje del andamio, y de que no les dio instrucciones de ninguna clase. Y es respecto de ellas sobre las que el órgano de apelación ha incurrido en la citada falta de argumentación —puesta de manifiesto también por el Ministerio Fiscal—, al no haber hecho mención alguna acerca de los medios probatorios o los razonamientos a partir de los que llega a tales conclusiones fácticas sobre la participación del recurrente en los hechos delictivos imputados. De una parte, la Sentencia condenatoria expone con encomiable amplitud diversas circunstancias fácticas relevantes para la calificación jurídico-penal de los hechos, así como las fuentes de prueba de las que se obtienen. Así, por ejemplo, considera probado que en el plan de seguridad nada se mencionaba de la utilización de un andamio motorizado como el que dio lugar al accidente mortal, obteniendo tal conclusión de lo declarado por los peritos y derivando de la misma, razonadamente, que al no estar previsto el riesgo que representaba la utilización del andamio tampoco se previeron medidas de seguridad para evitar tal riesgo; y entendía también acreditado que la caída de los trabajadores y su muerte estaba directamente relacionada con su falta de conocimientos y preparación, y con la ausencia de supervisión de su labor en el andamio por quienes estaban obligados a vigilar y llevar a la práctica el plan de seguridad, citando el informe del inspector de trabajo como fuente probatoria. No obstante, a la hora de atribuir los hechos delictivos al recurrente en emparo, se limita la Sala a afirmar que “el Sr. Queralto dio la orden de desmontaje de los andamios por dos operarios sin preocuparse mínimamente de las condiciones de seguridad de dichos operarios, ni de la capacitación de los operarios para realizar la labor encomendada”, sin hacer mención alguna a los medios de prueba a partir de los que llega a tal aseveración ni dar razones que indiquen el itinerario argumental seguido a tal fin. Tales datos sobre el comportamiento del actor fueron incorporados expresamente al relato de hechos probados por la Audiencia Provincial, sin que hubieran sido tomados en consideración por la Sentencia absolutoria del Juzgado de lo Penal; por ello, tampoco de su lectura cabe inferir el origen probatorio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parquedad en la motivación nos impide, en consecuencia, enjuiciar si la valoración de la prueba en que se sostiene la condena dictada por la Audiencia Provincial se ha basado en pruebas personales y dar respuesta, con ello, al motivo de amparo planteado por el demandante. En este sentido, y frente a la línea de análisis propuesta por el Ministerio Fiscal, no resulta procedente que este Tribunal, ante el silencio de las resoluciones judiciales al respecto, entre a indagar si del conjunto de las actuaciones procesales cabe extraer un soporte probatorio en el que apoyar el pronunciamiento judicial y cuál haya de ser la índole —personal o documental— del mismo. Ciertamente, hemos entendido que “el acto final que es objeto de impugnación en amparo no es sino el precipitado de todo el proceso, aunque con frecuencia no todas sus incidencias se hagan explícitas en la resolución final”, por lo que “además del examen riguroso de las Sentencias pronunciadas en instancia y apelación por los Tribunales ordinarios, resultará imprescindible la consideración de la totalidad del proceso judicial para situarnos en el contexto global en el que se produjo el debate procesal, y así comprender primero y enjuiciar después la respuesta judicial ofrecida” (SSTC 272/2005, de 24 de octubre, FJ 2; y 153/2011, de 17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hemos venido atribuyendo al acta del juicio oral cierta funcionalidad “para posibilitar la verificación de la existencia de prueba de cargo suficiente para fundamentar una condena penal”, considerando que constituye “un documento fehaciente que resulta imprescindible para llevar a cabo el control externo que nos compete al efecto de concluir si hubo o no en el proceso prueba de cargo suficiente y practicada con las debidas garantías de oralidad, contradicción e inmediación” (STC 92/2006, de 27 de marzo, FJ 3). En este sentido, si bien la información que las actuaciones procesales proporcionan constituye un instrumento idóneo para comprender y verificar la valoración probatoria plasmada en las resoluciones judiciales, no puede, sin embargo, erigirse en exclusivo objeto de nuestro enjuiciamiento y enmendar así la ausencia de motivación en que, en el presente caso, incurre la Sentencia combatida, so pena de sustituir la función de valoración de la prueba y fijación de los hechos que es privativa de la potestad jurisdiccional (art. 117.3 CE) y de extralimitarnos con ello en el cometido que la Constitución nos asigna. Como hemos venido reiterando, no corresponde a este Tribunal “revisar la valoración de las pruebas a través de las cuales el órgano judicial alcanza su íntima convicción, sustituyendo de tal forma a los Jueces y Tribunales ordinarios en la función exclusiva que les atribuye el art. 117.3 CE, sino únicamente controlar la razonabilidad del discurso que une la actividad probatoria y el relato fáctico que de ella resulta, porque el recurso de amparo no es un recurso de apelación, ni este Tribunal una tercera instancia”; por ello, hemos declarado con especial contundencia que nuestro examen ha de partir “de la radical falta de competencia de esta jurisdicción de amparo para la valoración de la actividad probatoria practicada en un proceso penal y para la evaluación de dicha valoración conforme a criterios de calidad o de oportunidad” (STC 137/2005, de 23 de mayo, FJ 2; y 26/2010, de 27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citados déficits de motivación sobre la valoración de la prueba y consiguiente fijación de los hechos habrán de traer consecuencias para el derecho a la presunción de inocencia, cuya vulneración denuncia el recurrente en su segundo motivo de amparo y que pasamos a analizar a continuación. Alega el actor, en primer lugar, que la condena está sostenida sobre una valoración probatoria practicada sin inmediación y contradicción, por lo que no puede ser apta para enervar la presunción de inocencia; en segundo lugar, añade que la conclusión de que el accidente producido era previsible para el recurrente y que, pese a ello dio orden de desmontaje de los andamios sin preocuparse mínimamente de las condiciones de seguridad carece de todo soporte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31/1981, de 28 de julio, hemos venido reiterando que el derecho a la presunción de inocencia se configura, en tanto que regla de juicio y desde la perspectiva constitucional, como el derecho a no ser condenado sin pruebas de cargo válidas, lo que implica que exista una mínima actividad probatoria realizada con las garantías necesarias, referida a todos los elementos esenciales del delito, y que de la misma quepa inferir razonablemente los hechos y la participación del acusado en los mismos. De modo que, como se declara en la STC 189/1998, de 28 de septiembre, FJ 2, “sólo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por ilógico o por insuficiente no sea razonable el iter discursivo que conduce de la prueba al hecho probado” (también, entre muchas, SSTC 111/2008, de 22 de septiembre, FJ 3; y 26/2010, de 27 de abril,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es relevante para el presente enjuiciamiento, hemos de poner de manifiesto “la íntima relación que une la motivación y el derecho a la presunción de inocencia, que no en vano consiste en que la culpabilidad ha de quedar plenamente probada, lo que es tanto como decir expuesta o mostrada. La culpabilidad ha de motivarse y se sustenta en dicha motivación, de modo que sin motivación se produce ya una vulneración del derecho a la presunción de inocencia” (STC 145/2005, de 6 de junio FJ 6; 12/2011, de 28 de febrero, FJ 6). Por tal razón, y como recuerda la STC 12/2011, de 28 de febrero, “este Tribunal ha reiterado que ‘uno de los modos de vulneración de este derecho lo constituye precisamente la falta de motivación del iter que ha conducido de las pruebas al relato de hechos probados de signo incriminatorio’ (STC 245/2007, 10 de diciembre, FJ 5). Desde esta perspectiva, resulta necesario comprobar si las resoluciones impugnadas no sólo satisfacen el grado mínimo de motivación exigido en general para la tutela judicial, sino también el grado de motivación constitucionalmente exigido ex derecho a la presunción de inocencia, que conforme a nuestra doctrina es superior al primero ‘dado que está precisamente en juego aquel derecho y, en su caso, el que resulte restringido por la pena, que será el derecho a la libertad cuando, como es ahora el caso, la condena lo sea a penas de prisión (STC 209/2002, de 11 de noviembre, FJ 3; 169/2004, de 6 de octubre, FJ 6; 143/2005, de 6 de junio, FJ 4). El canon de análisis no se conforma ya con la mera cognoscibilidad de la ratio dicendi de la decisión judicial, sino que exige una mínima explicación de los fundamentos probatorios del relato fáctico, con base en el cual se individualiza el caso y se posibilita la aplicación de la norma jurídica (SSTC 5/2000, de 17 de enero, FJ 2; 249/2000, de 30 de octubre, FJ 3; 209/2002, de 11 de noviembre, FFJJ 3 y 4; 143/2005, de 6 de junio, FJ 4)’ (STC 245/2007, 10 de diciembre, FJ 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al diferente estándar de exigencia, consecuencia adicional de esta perspectiva constitucional sobre la ausencia de motivación suficiente del relato fáctico incriminatorio, está la de que, a diferencia del derecho a la tutela judicial efectiva, la plena reparación del derecho a la presunción de inocencia pasará normalmente por la anulación sin retroacción de la Sentencia condenatoria. Como expresa la STC 245/2007, de 10 de diciembre, “la falta de un fundamento fáctico concreto y cognoscible priva a la pena del sustento probatorio que le exige el art. 24.2 CE y convierte el problema de motivación, reparable con una nueva, en un problema de presunción de inocencia, sólo reparable con su anulación definitiva”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citado criterio de enjuiciamiento al caso que nos ocupa desemboca forzosamente en la estimación del motivo de amparo. Como ha sido ya puesto de manifiesto, la Sentencia de la Audiencia Provincial que condenó al recurrente fundamenta la culpabilidad en que, siendo competente del control del riesgo derivado de la utilización del andamio, el recurrente dio la orden de desmontaje de los andamios por los dos operarios fallecidos sin preocuparse mínimamente de sus condiciones de seguridad, ni de su capacitación para realizar tal labor encomendada, pero esta conclusión, incorporada al relato de hechos probados, aparece huérfana de toda mención acerca de los medios de prueba a partir de los que se obtiene, así como de toda argumentación que permita justificar la misma en términos de racionalidad. En consecuencia, debemos declarar vulnerado el derecho a la presunción de inocencia (art. 24.2 CE), con la consiguiente anulación de la Sentencia condenatoria dictada por la Sección Segunda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del presente motivo de amparo con el citado alcance hace innecesario que nos pronunciemos sobre las restantes quejas aducidas.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Pablo Queralto Gómez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a la presunción de inocencia (art. 24.2.CE).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anular la Sentencia de 20 de julio de 2006 de la Sección Segunda de la Audiencia Provincial de Madrid exclusivamente en lo referido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