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9 de mayo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3591-2009, planteado por el Consejo de Gobierno de la Comunidad Autónoma de Madrid contra los arts. 3.1 b) y 6 del Real Decreto 2066/2008, de 12 de diciembre, por el que se regula el plan estatal de vivienda y rehabilitación 2009-2012. Ha formulado alegaciones el Abogado del Estado. Ha sido Ponente el Magistrado don Francisco José Hernando Santiago,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17 de abril de 2009 el Letrado de la Comunidad Autónoma de Madrid, en la representación que legalmente ostenta de su Consejo de Gobierno, promueve conflicto positivo de competencia contra los arts. 3.1 b) y 6 del Real Decreto 2066/2008, de 12 de diciembre, por el que se regula el plan estatal de vivienda y rehabilitación 2009-2012. El conflicto se fundamenta en las alegaciones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 los antecedentes del presente conflicto y al cumplimiento de los requisitos procesales para interponerlo, el Letrado de la Comunidad de Madrid se refiere al contenido de la norma impugnada y a los títulos competenciales que entiende afectados en la presente controversia. Así, indica que el Real Decreto 2066/2008 establece una serie de medidas dirigidas al fomento de la vivienda protegida así como a la rehabilitación, amparándose en la competencia estatal en materia de bases y coordinación general de la actividad económica del art. 149.1.13 CE. Para analizar la constitucionalidad de esta disposición, la representación procesal de la Comunidad de Madrid parte del estudio de la distribución competencial en materia de vivienda y de la jurisprudencia constitucional sobre la misma. En este sentido, recuerda que el art. 148.3 CE permite que las Comunidades Autónomas asuman competencias en materia de ordenación del territorio, urbanismo y vivienda y que el art. 26.1.4 del Estatuto de Autonomía de la Comunidad Autónoma de Madrid haya asumido dicha competencia como exclusiva. Seguidamente afirma, con cita de la STC 152/1988, de 20 de julio, que las Comunidades Autónomas pueden desarrollar las bases estatales añadiendo requisitos y, en su caso, financiaciones complementarias, así como, en uso de su competencia exclusiva, crear figuras de protección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 doctrina de la STC 61/1997, de 20 de marzo, a propósito de la regulación del aprovechamiento tipo que establecía el texto refundido de la Ley del suelo de 1992 para favorecer la vivienda protegida, el Letrado de la Comunidad de Madrid añade que la competencia estatal en materia de vivienda al amparo del art. 149.1.13 CE ha de ir referida estrictamente a los fondos estatales que se dediquen al fomento de dicha actividad y en conexión con la incidencia de la misma en la economía nacional. A su juicio, si el título habilitante es la regulación general de la economía de la nación, no parece que ello permita al Estado utilizar otras competencias para fomentar la vivienda protegida ni tampoco establecer normativa en materia de vivienda que carezca de esa necesaria conexión con la economía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establecido, con carácter general, el régimen de distribución de competencias en la materia, el escrito de interposición del conflicto procede a analizar los preceptos del Real Decreto 2066/2008 que son objeto de impugnación. En concreto, son los arts. 3.1 b) (obligación de los solicitantes de vivienda de estar inscritos en un registro público de demandantes) y 6 (duración del régimen de protección). Así, respecto al art. 3.1 b), señala que, en cuanto exige para acceder a las viviendas y a la financiación prevista en el Real Decreto que los demandantes estén inscritos en un registro público creado y gestionado de conformidad con lo que disponga la normativa de las Comunidades Autónomas, se vulneran las competencias de la Comunidad Autónoma de Madrid en cuanto no se acierta a comprender la conexión de dicha medida con la economía de la nación, que es la competencia ejercitada por el Estado, a diferencia de lo que ocurre con el resto de requisitos del citado precepto que aluden a la situación económica y patrimonial de los solicitantes. Añade que las competencias estatales de carácter horizontal, como la planificación general de la actividad económica, han de interpretarse de una manera estricta, ya que de lo contrario supondrían una habilitación general al Estado para intervenir en cualquier materia, de tal forma que se vaciaría de sentido la atribución a las Comunidades Autónomas de una competencia específica sobre una materia. Además, señala que este criterio restrictivo de la competencia estatal sobre planificación general de la economía se reitera, entre otras, en las SSTC 44/1982, de 8 de julio; 11/1984, de 2 de febrero; 76/1984, de 29 de junio; 37/1987, de 26 de marzo; 112/1995, de 6 de julio y 45/2001, de 15 de febrero. En base a esta doctrina, considera el Letrado de la Comunidad de Madrid que resulta cuando menos difícil ver una relación directa e inmediata entre la creación de un registro de demandantes de viviendas y la planificación general de la economía nacional. Por ello, a su juicio no puede defenderse que la imposición de la creación de un registro esté comprendida en lo básico ya que más bien representa un mecanismo de control del sistema de concesión de viviendas protegidas cuya articulación debería quedar a la decisión exclusiva de las Comunidades Autónomas en virtud de sus competencias en materia de vivienda, e inclusive se podría citar su competencia de autoorganización.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art. 6 estima que vulnera las competencias de la Comunidad Autónoma de Madrid en materia de urbanismo pues el precepto condiciona los usos que la Comunidad Autónoma en su normativa urbanística establece para los suelos y afecta a su política urbanística ya que, al establecer dicho precepto una reserva del 50 por 100 para vivienda protegida, ello puede originar una trama urbana con una altísima proporción de vivienda protegida congelada, afectando así al modelo de ciudad que la Comunidad Autónoma, en el uso de su competencia en materia de urbanismo, puede querer configurar. Pero además de esa vulneración de las competencias autonómicas en materia de urbanismo, a su juicio se lesiona igualmente la competencia en materia de vivienda porque si el Gobierno central establece una calificación perpetua de las viviendas protegidas construidas en suelos destinados por el planeamiento a vivienda protegida, ello supone congelar dichos suelos permanentemente, sin posibilidad de que esas viviendas se descalifiquen, con lo cual el precepto estatal desvirtúa los deseos del legislador madrileño al fijar una reserva del suelo del 50 por 100. Afirma el Letrado de la Comunidad Autónoma de Madrid que la legislación básica ha de permitir siempre a las Comunidades Autónomas un margen de desarrollo de la materia y este margen no se respeta al establecer el carácter perpetuo de la calificación de la vivienda. Considera también que al establecerse una calificación perpetua de las viviendas se está procediendo a vaciar la competencia autonómica en materia de vivienda ya que la Comunidad Autónoma ha de establecer forzosamente la calificación permanente para estas viviendas cuando la normativa autonómica utiliza el plazo en el que las viviendas han de estar protegidas como un instrumento de política de vivienda. A su entender, se produce así un bloqueo de las competencias autonómicas que el Tribunal Constitucional ha rechazado en numerosas ocasiones, entre otras, en la STC 133/1997, de 16 de julio (FJ 4). Concluye afirmando que el hecho de que las viviendas no puedan desclasificarse jamás constituye una medida de política de vivienda más que una medida de política económica, pero que vulnera las competencias autonómicas en materia de vivienda y en materia de urbanismo al condicionar las reservas de suelo destinado a vivienda protegida y los suelos dotacionales públicos que establece la normativa urbanística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suplica la estimación del conflicto declarando que las competencias controvertidas corresponden a la Comunidad Autónoma de Madrid y que el Real Decreto 2066/2008, de 12 de diciembre, objeto del presente conflicto, vulnera esas competencias al impedir su ejercicio por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5 de mayo de 2009 el Pleno del Tribunal, a propuesta de la Sección Cuarta, acordó admitir a trámite el presente conflicto; dar traslado de la demanda y documentos presentados al Gobierno de la Nación, al objeto de presentar alegaciones en el plazo de veinte días; comunicar la incoación del conflicto a la Sala de lo Contencioso-Administrativo del Tribunal Supremo, por si ante la misma estuvieran impugnados o se impugnaren los citados preceptos, en cuyo caso se suspenderá el curso del procedimiento hasta la decisión del conflicto, según dispone el art. 61.2 de la Ley Orgánica del Tribunal Constitucional (LOTC), y publicar la incoación del conflicto en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13 de mayo de 2009 el Abogado del Estado se personó en el proceso solicitando una prórroga del plazo concedido para formular alegaciones, prórroga que le fue concedida mediante providencia de 14 de mayo de 2009. El escrito de alegaciones del Abogado del Estado se registró el día 23 de junio de 2009. En dicho escrito se opone a la demanda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tras realizar un planteamiento general sobre el objeto del conflicto, examina si, al amparo de la doctrina constitucional, la actuación del Estado se halla justificada por la competencia que el art. 149.1.13 CE le atribuye sobre las bases y coordinación de la planificación general de la actividad económica. Recuerda que la ordenación y promoción de sectores económicos como competencia integrante del título estatal relativo a la planificación general de la actividad económica ha sido objeto de numerosa jurisprudencia constitucional, en la que a su vez ha sido una constante la exigencia de una cierta relevancia económica para justificar que una norma estatal pueda ampararse en la competencia relativa a la “planificación general de la actividad económica”. Como ejemplo de Sentencias que realizan ese control de relevancia económica, el Abogado del Estado cita las SSTC 152/1988, de 20 de julio, 59/1995, de 17 de marzo, y 61/1997, de 20 de marzo; afirma que la jurisprudencia constitucional ha reconocido la competencia del Estado para ordenar y proteger el subsector vivienda, con base en su especial incidencia en la economía española. A su juicio, resulta innegable que el subsector de la vivienda tiene un peso significativo en la economía nacional, en general, y en el sector de la construcción, en particular, y que la tarea estatal de fomento en materia de vivienda se encuentra respaldada por el título competencial a que se refiere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analiza la constitucionalidad de los preceptos impugnados. En primer lugar, señala que lo establecido en las disposiciones recurridas no son prescripciones de necesaria aplicación, sino que únicamente resultarán de observancia obligatoria para las Comunidades Autónomas que así lo decidan, optando por que en su territorio puedan obtenerse tales ayudas estatales y financiación convenida. Tras esta afirmación pasa a analizar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3.1 b) señala que se trata de un precepto en el que no se regula un registro único de demandantes, sino que se limita a prever su creación y contenido básico, con lo que traslada a cada Comunidad Autónoma la obligación de instaurar estos registros, pero sin entrar en aspectos de gestión de los mismos, declarando de forma expresa que la gestión de estos registros de carácter público o equivalentes corresponderá a cada Comunidad Autónoma, de acuerdo con su normativa propia. Añade que el señalamiento de los requisitos mínimos que los eventuales beneficiarios han de cumplir para poder acceder a las ayudas estatales constituye uno de los elementos esenciales del ámbito de protección que puede reservarse el Estado. En última instancia, es uno de los instrumentos más útiles para conseguir delimitar el destino de las cantidades que el Estado aporta para la protección a la promoción de viviendas y su adquisición. La normativa estatal no sólo determina las actuaciones protegibles a las que se destinan los fondos aportados, sino también las características de las personas que pueden acceder a las ayudas. En este sentido, sostiene que partiendo de admitir que las condiciones generales de los demandantes de vivienda y financiación constituyen elemento esencial para el cumplimiento de los objetivos en materia de vivienda propuestos por el Estado al recoger la articulación jurídica de las ayudas económicas programadas, el contenido del precepto impugnado ha de ser considerado básico y, concretamente, la inscripción en un registro público de demandantes que sin duda resulta igualmente indispensable para el eficaz cumplimiento de los objetivos estatales. En consecuencia, señala que en tanto la consideración de la vivienda como protegida entra en la definición misma de las actuaciones protegibles, el establecimiento de un registro de demandantes o solicitantes de vivienda protegida contribuye a aportar datos esenciales para la determinación básica de dichas actuaciones. Para el Abogado del Estado se trata de garantizar que el subsector protegido de vivienda, además de mantener las características que lo definen normativamente como tal, se consolide en los mercados de vivienda como una opción eficaz y creíble para satisfacer adecuadamente las necesidades de alojamiento de la población, especialmente la de ingresos medios y bajos, actuando a su vez como contrapeso y elemento moderador de las grandes fluctuaciones de precios que pueden aquejar a los mercados de vivienda. Considera que el registro público de demandantes constituye un mecanismo de asignación de beneficiarios de las viviendas protegidas que contribuye a evitar la posibilidad de que por los vendedores de dichas viviendas se exijan precios superiores a los administrativamente fijados. Es decir, con la inscripción de los demandantes en los registros públicos se trata de obviar la aplicación de sobreprecios ilegales a las viviendas incluidas en el subsector protegido. Por ello, insiste el Abogado del Estado, el registro de demandantes tiene una incidencia directa sobre la caracterización del subsector protegido de vivienda que a su vez presenta un importante papel potencial en el equilibrio de los mercados de vivienda, factor clave en la política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señala el Abogado del Estado que los registros públicos de demandantes ya estaban establecidos en el Real Decreto 801/2005, de 1 de julio, por el que se aprobó el anterior plan estatal de vivienda 2005-2008, en respuesta a la voluntad de determinadas Comunidades Autónomas de satisfacer, desde una norma estatal, su deseo de conocimiento, estructuración y ordenación de la demanda de vivienda de protección oficial en los distintos ámbitos territoriales, al objeto de que las Administraciones públicas más directamente afectadas tuvieran oportuna información tanto de la demanda real existente en su territorio como de las condiciones sociales y económicas de los eventuales demandantes de este tipo de viviendas. En todo caso, destaca que la ponderación de la constitucionalidad del art. 3.1 b) del Real Decreto 2066/2008 debe hacerse sobre la base de los criterios ampliamente reiterados por este Tribunal en relación con los registros estatales, singularmente la STC 197/1996, de 28 de noviembre, que recopila la doctrina anteriormente recaída en numerosos pronunciamientos. A la vista de dicha jurisprudencia sostiene que difícilmente puede aceptarse la imputación de inconstitucionalidad que se dirige contra el art. 3.1 b), pues si este Tribunal Constitucional ha declarado conforme con el orden constitucional de distribución de competencias la existencia de un registro único para todo el Estado en aquellos ámbitos materiales sobre los que el mismo ostente competencias legislativas básicas, no parece que pueda negarse la constitucionalidad de la mera previsión básica de existencia de registros autonómicos, cuya creación y gestión se encomienda expresamente a las distintas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6, señala el Abogado del Estado que pese a que formalmente constituye objeto de impugnación en el presente conflicto la totalidad del precepto, el escrito rector de este proceso únicamente razona sobre la inconstitucionalidad de su apartado 1. Destaca que el art. 6 se dirige a fijar las condiciones que vinculan la financiación con fondos públicos del Estado de determinadas viviendas y alojamientos que desean acogerse a aquéllos, lo que permite afirmar que nos encontramos realmente ante un asunto económico y no urbanístico, que por ello difícilmente puede llegar a condicionar las competencias urbanísticas de la Comunidad Autónoma. Por tanto, a su juicio, la cuestión parece circunscribirse al plazo de treinta años que establece el art. 6.1 y que constituye el requisito mínimo temporal a cumplir, incluso cuando las correspondientes condiciones urbanísticas hubieran ya desaparecido.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la medida cuya constitucionalidad se cuestiona no tiene carácter novedoso sino que viene a intensificar una tendencia normativa que parte del plan de vivienda 2002-2005 con el que se trata de lograr una mayor estabilidad en la permanencia del régimen de las viviendas protegidas, y no prohibiendo las transacciones, sino fijándoles precios máximos y limitándolas a ocupantes con determinadas características. Añade que, en todo caso, la facultad de fijación del plazo para descalificar una vivienda dotada de protección ha de estimarse incluida dentro de la facultad estatal para determinar la regulación esencial del nivel de protección que se pretenda ofrecer en cada caso y que, como ha señalado la STC 152/1988, de 20 de julio, FJ 4, constituye una de las actuaciones que el Estado puede llevar a cabo en materia de financiación de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que el plan estatal de vivienda sólo establece condiciones de financiación para las actuaciones previstas en el mismo, que además vayan a contar con financiación procedente de dicho plan. Esto es, sus prescripciones limitan su eficacia a las viviendas “que se acojan a la financiación de este Plan”, dictadas por el Estado al amparo de sus competencias, sin condicionar la política de vivienda que puedan desplegar las Comunidades Autónomas mediante sus propios programas. Por ello, afirma que la disposición impugnada permite su desarrollo por las Comunidades Autónomas, pudiendo establecer un plazo superior para autorizar la descalificación voluntaria.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afirma que si las ayudas van destinadas a mejorar el acceso y uso de la vivienda a los ciudadanos con especiales dificultades económicas, la fijación de mínimos temporales no persigue sino que la financiación de vivienda protegida se destine realmente a crear vivienda protegida, sin que se desvirtúe en último término el sentido de la subvención, por cuanto es evidente que cada vivienda protegida que se descalifique hará perder la finalidad del dinero público que se le destinó, y al pasar al mercado libre, contribuirá a favorecer un proceso dirigido a la especulación. En definitiva, a su juicio, y partiendo de admitir que la limitación temporal en la descalificación voluntaria de las viviendas protegidas que hayan gozado de ayudas públicas conforme al plan estatal no constituye una regla urbanística, sino que se trata de una medida básica de política económica que se inserta en la política de vivienda, resulta innegable la cobertura competencial que el art. 6 impugnado encuentra en el art. 149.1.13 CE. Afirma que la incidencia directa y significativa de la medida incluida en el art. 6, en el sector económico, en la lucha contra la especulación y en la efectividad del derecho a la vivienda para los colectivos más desfavorecidos, resulta incuestionable. Añade que la regulación de las limitaciones a la propiedad obtenida con la financiación cualificada ha de considerarse de carácter básico, puesto que configura uno de los aspectos esenciales de la política de vivienda establecida por el Estado, al tratarse de una auténtica contrapartida de los beneficios obtenidos que garantiza el cumplimiento de los propios fines pretendidos con el establecimiento de estas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señala que la ausencia de argumentación en el escrito de demanda sobre la constitucionalidad del apartado 2 del art. 6, exime a esa representación de la defensa de dicho apartado, al desconocerse los motivos en los que la parte actora fundamentara una posible vulneración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mayo de 2013, se acordó señalar para deliberación y votación de la presente Sentencia el día 9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 El presente proceso constitucional tiene por objeto resolver el conflicto positivo de competencia promovido por el Consejo de Gobierno de la Comunidad de Madrid contra los arts. 3.1 b) y 6 del Real Decreto 2066/2008, de 12 de diciembre, por el que se regula el plan estatal de vivienda y rehabilitación 2009-2012.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Consejo de Gobierno de la Comunidad Autónoma de Madrid los arts. 3.1 b) y 6 del Real Decreto 2066/2008 vulneran sus competencias exclusivas en materia de vivienda y urbanismo, pues ni la obligación de los solicitantes de vivienda de estar inscritos en un registro público de demandantes [art. 3.1 b)], ni la fijación de un plazo de duración mínimo al régimen de protección pública de las viviendas (art. 6), tienen conexión con la competencia estatal en materia de bases y coordinación general de la actividad económica del art. 149.1.13 CE, que es el título competencial en el que se ampara la citada norma para establecer una serie de medidas dirigidas al fomento de la vivienda protegida. Por el contrario, el Abogado del Estado sostiene que ambos preceptos tienen una incidencia directa y significativa en el sector económico en atención a la necesidad de garantizar el subsector protegido de vivienda que a su vez presenta un importante papel potencial en el equilibrio de los mercados de vivienda, factor clave en la política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resulta conveniente realizar algunas precisiones de orden procesal, antes de proceder al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es preciso determinar la vigencia de la controversia competencial en los términos en que ha sido planteada, a la vista de las modificaciones operadas en el Real Decreto 2066/2008, por el Real Decreto 1961/2009, de 18 de diciembre, que introduce nuevas medidas transitorias en el plan estatal de vivienda y rehabilitación 2009-2012, y por el Real Decreto 1713/2010, de 17 de diciembre, que modifica el Real Decreto 2066/2008, de 12 de diciembre. Pues bien, ninguna de estas modificaciones ha afectado a los artículos frente a los que se ha interpuesto el presente conflicto positivo de competencia, por lo que debemos entender que el conflicto pervive en los términos en que ha sido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mismo, debe tenerse en cuenta que el plan estatal de vivienda 2009-2012 no ha sido derogado por el Real Decreto 233/2013, de 5 de abril, por el que se regula el plan estatal de fomento del alquiler de viviendas, la rehabilitación edificatoria y la regeneración y renovación urbanas, 2013-2016, sino que ha concluido el período para cuya eficacia fue aprobado, a lo que se añade, tal y como hemos señalado en relación con las normas reguladoras de ayudas públicas y con las leyes de presupuestos, que “excluir la posibilidad de examen constitucional en estos supuestos ‘sería tanto como negar la posibilidad de control por este Tribunal Constitucional de determinadas normas con vigencia limitada en el tiempo ... creándose así un ámbito normativo (estatal o autonómico) inmune al control de la jurisdicción constitucional’ (por todas, STC 13/2007, de 18 de enero, FJ 1)” (STC 197/2012, de 6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 en segundo lugar, debemos delimitar el objeto del presente conflicto positivo de competencias. En efecto, pese a que formalmente constituye el objeto de la impugnación la totalidad del art. 6, el escrito de interposición del conflicto de competencias únicamente aporta argumentos suficientes en relación con los motivos o causas de la infracción de su apartado 1. Por tanto, habremos de atenernos a la doctrina que hemos mantenido en supuestos similares, según la cual “no basta la mera invocación formal de los preceptos en la demanda (STC 98/1989, FJ 5) o incluso, como sucede en este caso,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[SSTC 146/1994, FJ 7 B); 214/1994, FJ 3; 195/1998, FJ 1]. Efectivamente, hemos de recordar aquí una vez más que la impugnación de las normas debe ir acompañada de la preceptiva fundamentación y precisión que permitan al Abogado del Estado, al que asiste, como parte recurrida, el derecho de defensa, así como a este Tribunal, que ha de pronunciar la Sentencia, conocer las razones por las que los recurrentes entienden que las disposiciones impugnadas transgreden el orden constitucional (SSTC 118/1996, FJ 2; y 118/1998, FJ 4).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(STC 233/1999,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objeto del presente proceso queda delimitado a los arts. 3.1 b) y 6.1 del Real Decreto 2066/2008.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Real Decreto 2066/2008, de 12 de diciembre regula el plan estatal de vivienda y rehabilitación 2009-2012, que prevé la concesión de una serie de ayudas a quienes cumplan los requisitos previstos en la norma, para la promoción de viviendas protegidas de nueva construcción, o procedentes de la rehabilitación, destinadas a la venta, al uso propio o al arrendamiento, para el alquiler de viviendas nuevas o usadas, libres o protegidas destinadas a vivienda habitual del arrendatario, para la rehabilitación de conjuntos históricos, centros urbanos, barrios degradados y municipios rurales, para la mejora de la eficiencia energética y de la accesibilidad y la utilización de energías renovables, para la adquisición y urbanización de suelo para vivienda protegida y para la gestión del plan y la información a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 del Real Decreto 2066/2008 establece en qué consistirán las ayudas del plan. Este artículo ha sido modificado por el Real Decreto 1713/2010, de 17 de diciembre, para adaptarlo a los nuevos requerimientos de contención del gasto público y consolidación fiscal derivados de la crisis económica, y ha suprimido la ayuda estatal directa a la entrada. Así, tras dicha supresión, las ayudas financieras del plan consistirán en subsidios de préstamos convenidos y subvenciones. Ambas modalidades de ayuda encajan en la categoría de la subvención pues, siguiendo la definición que de subvención recoge el art. 2 de la Ley 38/2003, de 17 de noviembre, general de subvenciones, nos encontramos ante una disposición dineraria realizada por una Administración pública a favor de personas públicas o privadas, sin contraprestación directa de los beneficiarios, pero sujeta a la ejecución de un proyecto, como la construcción o rehabilitación de una vivienda, o la realización de una determinada actividad, como la adquisición o el arrendamiento de una vivienda, con el objeto de promover la realización de una finalidad pública, cual es la efectividad del derecho a la vivienda reconocido en el art. 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la resolución de las controversias que se suscitan respecto a la regulación y aplicación de las ayudas y subvenciones que puedan establecerse en las áreas o segmentos de la acción pública, hemos de partir de la distribución de competencias existente en la materia constitucional en la que proceda encuadrar las subvenciones de que se trate. Por ello, la resolución del presente conflicto exige comenzar por el encuadramiento competencial de las ayudas reguladas, a fin de determinar, si a la vista de las competencias del Estado y de la Comunidad Autónoma de Madrid, se ha producido la vulneración competencial denunciada, tomando como parámetro sustantivo la doctrina constitucional, especialmente la recogida en la STC 13/1992, de 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2066/2008, de 12 de diciembre, se aprueba al amparo de lo dispuesto en el art. 149.1.13 CE, que atribuye al Estado competencia exclusiva en materia de bases y coordinación de la planificación general de la actividad económica, excepto el art. 7 y la disposición adicional cuarta, que se dictan al amparo de lo dispuesto en el art. 149.1.18 CE, que atribuye al Estado la competencia exclusiva de ordenación de los registros e instrumentos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148.1.3 CE permite que las Comunidades Autónomas asuman competencias en materia de ordenación del territorio, urbanismo y vivienda. En este sentido el art. 26.1.4 del Estatuto de Autonomía de la Comunidad de Madrid, aprobado por Ley Orgánica 3/1983, de 25 de febrero, ha asumido dicha competencia como exclusiva. Ahora bien esto no quiere decir que el Estado carezca de todo mecanismo de intervención en materia de urbanismo y vivienda. En efecto, en materia de vivienda, la evidente conexión del mercado inmobiliario con la economía nacional ha posibilitado que el Estado siga ejercitando una función de fomento de dicha actividad y así lo ha reconocido este Tribunal en su Sentencia 152/1988, de 20 de julio. En efecto, según la citada Sentencia la competencia autonómica en materia de vivienda se halla limitada por las competencias del Estado sobre las bases y coordinación de la planificación general de la actividad económica. Tanto el art. 149 de la Constitución como los Estatutos de Autonomía “dejan a salvo las facultades de dirección general de la economía y, por tanto, de cada uno de los sectores productivos, que han de quedar en poder de los órganos centrales del Estado. En consecuencia, dentro de la competencia de dirección de la actividad económica general tienen cobijo también las normas estatales que fijen las líneas directrices y los criterios globales de ordenación de sectores económicos concretos, así como las previsiones de acciones o medidas singulares que sean necesarias para alcanzar los fines propuestos dentro de la ordenación de cada sector. Este razonamiento es también aplicable al sector de la vivienda, y en particular, dentro del mismo, a la actividad promocional, dada su muy estrecha relación con la política económica general, en razón de la incidencia que el impulso de la construcción tiene como factor del desarrollo económico y, en especial, como elemento generador de empleo” (STC 152/1988, de 20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la STC 152/1988, de 20 de julio, distingue en su fundamento jurídico 4 cuatro aspectos en los cuales se puede admitir la competencia estatal de fomento en materia de vivienda: la definición de las actuaciones protegidas; la regulación esencial de las fórmulas de financiación adoptadas (créditos cualificados, subsidiación de préstamos y subvenciones); el nivel de protección; y, la aportación de recursos estatales. En consecuencia, “la regulación estatal de cada uno de estos cuatro aspectos no invade competencia autonómica alguna, pues se halla legitimada por lo dispuesto en el art. 149.1.13 CE”. Ahora bien, “ello no significa que las Comunidades Autónomas con competencias en materia de vivienda hayan de quedar absolutamente desprovistas de cualquier atribución por lo que se refiere a las actuaciones protegibles en el sector. Por un lado, es evidente que, en función de aquellas competencias estatutarias, pueden definir y llevar a cabo una política de vivienda propia, complementando las actuaciones de protección y promoción previstas por el Estado, con cargo a sus propios recursos ... Pero además, para la ejecución de la normativa estatal reguladora de las actuaciones protegibles que, como diremos más adelante, les corresponde, las Comunidades Autónomas deben contar con un margen de libertad de decisión que les permita aplicar las medidas estatales adaptándolas a las peculiares circunstancias de su territorio, sin perjuicio del respeto debido a los elementos indispensables que las normas estatales arbitran para alcanzar los fines de política económica general propuestos. Sólo de esta manera es posible conciliar el ejercicio de las competencias del Estado sobre la planificación y coordinación en el sector económico de la vivienda, incluida la utilización instrumental de sus competencias sobre las bases de ordenación del crédito, con las competencias autonómicas en materia de vivienda. Así, si las primeras legitiman una intervención del Estado que condiciona en parte la globalidad de la política de vivienda de cada Comunidad Autónoma, dicha intervención no puede extenderse, so pretexto de un absoluto igualitarismo, a la regulación de elementos de detalle de las condiciones de financiación que la priven de toda operatividad en determinadas zonas del territorio nacional. Antes bien, a las Comunidades Autónomas corresponde integrar en su política general de vivienda las ayudas reguladas por el Estado para el cumplimiento de las finalidades a que responden, con capacidad suficiente para modalizar, en su caso, las reglas generales, al objeto de conseguir una sustancial igualdad de resultados.”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se han pronunciado las SSTC 59/1995, de 17 de marzo, y 61/1997, de 20 de marzo, al admitir la facultad estatal de intervenir en materia de vivienda amparándose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materia de urbanismo la STC 61/1997, de 20 de marzo, FJ 6 b) ha señalado que “la competencia autonómica exclusiva sobre urbanismo ha de integrarse sistemáticamente con aquéllas otras estatales que, si bien en modo alguno podrían legitimar una regulación general del entero régimen jurídico del suelo, pueden propiciar, sin embargo, que se afecte puntualmente a la materia urbanística (establecimiento de las condiciones básicas que garanticen la igualdad en el ejercicio del derecho de propiedad urbana, determinados aspectos de la expropiación forzosa o de la responsabilidad administrativa)”. Tres son, por tanto, las competencias estatales más importantes mediante las cuales puede el Estado incidir legítima y puntualmente sobre la materia de urbanismo: la propiedad urbana, la expropiación forzosa y la responsabilidad administrativa. Es cierto que hay otras competencias que también podrán incidir de algún modo sobre el urbanismo. Entre ellas cabe destacar la competencia sobre las bases y coordinación general de la actividad económica, aunque la invocación de este título competencial estatal sólo podrá legitimarse si la norma de que se trate responde efectiva y estrictamente a la dirección general de la economía. Así lo hemos afirmado en la citada STC 61/1997, FJ 36, al señalar que el problema radica en determinar el alcance del art. 149.1.13 CE “cuando, como es el caso, incide sobre una competencia autonómica sectorial, porque, como hemos reiterado, ‘cuando el Estado se apoya en un título tan genérico como es el de bases y coordinación de la planificación de la actividad económica frente a la competencia exclusiva... de las Comunidades Autónomas, no puede, salvo cualificadas excepciones, continuar operando con todos los instrumentos de los que disponía con anterioridad a la descentralización del mismo, incidiendo continua y diariamente en una materia que ha quedado ampliamente fuera de su competencia...’ (STC 213/1994, FJ 10). Por lo que aquí interesa, tal inteligencia restrictiva del art. 149.1.13 CE cuando afecta a la competencia urbanística de las Comunidades Autónomas ha de verse complementada además por una interpretación finalista o teleológica, de modo que tan sólo aquellas normas básicas que respondan efectiva y estrictamente a la planificación general de la actividad económica podrían encontrar cobijo en el referido título, que impide la producción de normas que, aunque relacionadas con esa planificación general, no guarden esa inmediata y directa relación con la dirección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pues, en un ámbito material en el que el diseño del texto constitucional propugna un equilibrio entre los diferentes sujetos constitucionales en presencia, que deberán repartirse facultades sin en ningún caso anular a los otros y teniendo siempre presente la necesidad de cooperación entre ellos. Por ello lo que debemos comprobar acto seguido es si, en los concretos preceptos del Real Decreto 2066/2008 frente a los que se interpone el presente conflicto positivo de competencia, el Estado se ha excedido en el ejercicio de las competencias que le reconoce el art. 149.1.13 CE, invadiendo, por tanto, las competencias de la Comunidad Autónoma de Madrid en materia urbanística y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136/2009, de 15 de junio, FJ 3, remitiéndose expresamente a la STC 13/1992, de 6 de febrero, cuando las Comunidades Autónomas tienen atribuidas competencias sobre la materia objeto de la subvención, nuestra doctrina ha distinguido entre: a) supuestos en los que el Estado no invoca título competencial alguno, mientras que la Comunidad Autónoma ostenta competencia exclusiva sobre una determinada materia; b) aquellos en los que el Estado dispone de un título genérico, básico o de coordinación, correspondiendo a la Comunidad Autónoma la competencia de desarrollo legislativo y de ejecución; c) casos en los que el Estado tiene atribuida la competencia sobre la legislación relativa a una materia, cuya ejecución corresponde a la Comunidad Autónoma; y d) supuestos de competencia exclusiva de la Comunidad Autónoma, pero en los que concurren circunstancias excepcionales que determinan que la gestión de las ayudas pueda ser realizada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los títulos competenciales estatales y autonómicos que resultan de aplicación en esta materia, nos encontramos en el ámbito de lo dispuesto en el fundamento jurídico 8 b) de la meritada STC 13/1992, que concurre cuando el Estado ostenta un título competencial genérico de intervención que se superpone a la competencia de las Comunidades Autónomas sobre una materia, aun si ésta se califica de exclusiva, o bien tiene competencia sobre las bases o la coordinación general de un sector o materia, correspondiendo a las Comunidades Autónomas las competencias de desarrollo normativo y de ejecución, incluyendo en las mismas las relacionadas con la gestión de los fondos. En estos supuestos “el Estado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[STC 13/1992, FJ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primer precepto impugnado es el art. 3.1 b). El art. 3 establece las condiciones generales que deberán reunir los demandantes de viviendas y financiación acogidos al Real Decreto 2066/2008, sin perjuicio de las que puedan establecer adicionalmente las Comunidades Autónomas. Así, entre dichas condiciones generales el apartado b) exige “estar inscrito en un registro público de demandantes, creado y gestionado de conformidad con lo que disponga la normativa de las Comunidades Autónomas y ciudades de Ceuta y Melilla sin perjuicio de lo dispuesto en la Disposición Transitoria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de este conflicto de competencias considera que este requisito es vulnerador de las competencias autonómicas en materia de vivienda en tanto no se acierta a comprender la conexión de dicha medida con la economía de la Nación, que es la competencia ejercitada por el Estado, a diferencia de lo que ocurre con el resto de los requisitos del citado precepto que aluden a la situación económico-patrimonial de los solicitantes. Por el contrario, para el Abogado del Estado basta hacer una lectura del precepto para comprobar que se trata de un artículo en el que no se regula un registro único de demandantes, sino que se limita a prever su creación y contenido básico (demandantes o solicitantes de vivienda protegida), con lo que traslada a cada Comunidad Autónoma la obligación de instaurar estos registros, declarando de forma expresa que la gestión de los mismos de carácter público o equivalentes corresponderá a cada Comunidad Autónoma de acuerdo con su normativa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registros públicos de demandantes fueron establecidos por primera vez en el Real Decreto 801/2005, de 1 de julio, por el que se aprobó el plan estatal de vivienda 2005-2008. En este sentido, el art. 13.7 del citado real decreto establecía que “la venta y adjudicación de las viviendas acogidas a este Real Decreto habrá de efectuarse a demandantes inscritos en los registros públicos previstos al efecto por las Comunidades Autónomas y Ciudades de Ceuta y Melilla, según los procedimientos que éstas regulen, que, en todo caso, deberán garantizar los principios de igualdad, publicidad, concurrencia, así como eliminar cualquier tipo de fraude en las primeras y posteriores transmisiones. No obstante ello, los convenios de colaboración con las Comunidades Autónomas y Ciudades de Ceuta y Melilla previstos en el artículo 78 de este Real Decreto, podrán prever otros procedimientos, que garanticen los principios citados en el párrafo anterior y de ellos se dará cuenta a las Comisiones Bilaterales de Seguimiento.”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diferencia con el plan estatal de vivienda 2009-2012 radica en que las Comunidades Autónomas podían prever otros procedimientos, distintos a la creación de un registro público, siempre y cuando garantizaran los principios de igualdad, publicidad y concurrencia. Concretamente, la Comunidad Autónoma de Madrid ya tenía instrumentado un sistema alternativo al registro público de demandantes, cual es la lista única de solicitantes de vivienda pública para arrendamientos con opción de compra para jóvenes, establecido por la Orden 3766/2005, de 7 de septiembre, y el registro de solicitudes de vivienda pública, previsto en el Decreto 19/2006, de 9 de febrero, por el que se regula el procedimiento de adjudicación de viviendas de titularidad del Instituto de la Vivienda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del Real Decreto 2066/2008 objeto de conflicto incluye entre los objetivos a alcanzar por el plan estatal de vivienda y rehabilitación 2009-2012, “establecer las condiciones que garanticen a los ciudadanos el acceso a la vivienda en condiciones de igualdad, impulsando la creación de registros públicos de demandantes de vivienda acogida a algún régimen de protección pública y que toda la producción de viviendas protegidas sea adjudicada con criterios de transparencia, publicidad y concurrencia, controlados por la administración pública”. Por su parte, también la disposición transitoria sexta, a la que se refiere el precepto impugnado, destaca la observancia de tales principios en la venta y adjudicación de viviendas protegidas, al señalar que “los registros públicos de demandantes a que se refiere este Real Decreto deberán estar en funcionamiento en el plazo de un año desde la publicación de aquél en el ‘Boletín Oficial del Estado’. Hasta ese momento, la venta y adjudicación de las viviendas en primeras y posteriores transmisiones se regulará por lo que disponga la normativa propia de las Comunidades Autónomas y ciudades de Ceuta y Melilla que, en todo caso, deberá garantizar los principios de igualdad, publicidad y concurrencia e impedir el fraude en las primeras y posteriores transmisiones.”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registro se crea, por tanto, como un instrumento adecuado para dotar a las adjudicaciones de viviendas protegidas de la máxima transparencia y rigor. En efecto, el registro público de demandantes constituye un mecanismo de asignación de beneficiarios de las viviendas protegidas que contribuye a evitar la posibilidad de que por los vendedores de dichas viviendas se exijan precios superiores a los administrativamente fijados. Así, la venta y adjudicación de las viviendas acogidas a la financiación del plan estatal de vivienda sólo podrá efectuarse a demandantes inscritos en los registros públicos previstos al efecto por las Comunidades Autónomas y ciudades de Ceuta y Melilla [art. 5.1 d)]. Como señala el Abogado del Estado, con la inscripción de los demandantes en los registros públicos se pretende obviar la aplicación de sobreprecios ilegales a las viviendas incluidas en el subsector protegido. De este modo se garantiza que el subsector protegido de vivienda, además de mantener las características que lo definen normativamente como tal, se consolide en los mercados de vivienda como una opción eficaz y creíble para satisfacer adecuadamente las necesidades de alojamiento de la población, especialmente la de ingresos medios y bajos, actuando a su vez como contrapeso y elemento moderador de las grandes fluctuaciones de precios que pueden aquejar a los mercados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obligación de inscripción en el correspondiente registro guarda directa relación con la dirección de la economía al constituir un elemento esencial de la finalidad que persigue la concesión de las correspondientes ayudas y una garantía fundamental para su efectividad. La inscripción en un registro público de demandantes resulta uno de los elementos más útiles para el eficaz cumplimiento de los objetivos estatales perseguidos con la concesión de ayudas económicas para la promoción de viviendas y su adquisición ya que a través de dicho registro se trata de asegurar el destino de las cantidades aportadas. Como señalamos en la STC 15/1989, 26 de enero, en relación con la obligatoria inscripción de las asociaciones de consumidores y usuarios que quisieran gozar de los beneficios previstos en una ley estatal en un registro del Ministerio de Sanidad y Consumo, “la exigencia de la necesaria inscripción ... en un libro-registro ... no puede estimarse inconstitucional, dado que esa exigencia o carga se vincula directamente a la posibilidad de acceder a los beneficios que prevea la propia Ley y las disposiciones reglamentarias y concordantes. La inscripción en dicho libro registro no es sino un elemento que, junto al cumplimiento de otros requisitos que reglamentariamente se determinarán para cada tipo de beneficio que se instituya, opera como una condición previa para el otorgamiento por el Estado de cualesquiera ayudas o beneficios, no advirtiéndose en ello condicionamiento ilegítimo alguno para las asociaciones constituidas con arreglo a la normativa propia”. Y la misma doctrina podemos aplicar a este supuesto, pues la inscripción en el registro público de demandantes de vivienda protegida constituye una condición previa impuesta por el Estado para acceder a las correspondientes ayudas sin que suponga condicionamiento alguno en la política de vivienda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obligación de inscripción en un registro público no infringe las competencias autonómicas puesto que se trata de establecer un requisito que deben cumplir los solicitantes, y es doctrina reiterada por este Tribunal que los requisitos para acceder a las ayudas constituyen uno de los aspectos centrales de toda regulación subvencional que se orientan a garantizar igual trato a todos los interesados en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precepto impugnado es el apartado 1 del art. 6, sobre duración del régimen de protección de las viviendas y alojamientos protegidos y limitación del precio de las viviendas usadas. El tenor literal de este apartado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viviendas y alojamientos que se acojan a la financiación de este Plan, deberán estar sujetos a un régimen de protección pública, que excluya la descalificación voluntaria, incluso en el supuesto de subasta y adjudicación de las viviendas por ejecución judicial del préstamo, de la siguiente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carácter permanente mientras subsista el régimen del suelo, si las viviendas y alojamientos hubieran sido promovidos en suelo destinado por el planeamiento a vivienda protegida, o en suelo dotacional público, y, en todo caso, durante un plazo no inferior a 30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30 años, al menos, si las viviendas y alojamientos hubieran sido promovidos en otros suelos.”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del conflicto considera que vulnera las competencias de la Comunidad Autónoma en materia de urbanismo, ya que condiciona los usos que la Comunidad Autónoma, en su normativa urbanística, establece para los suelos, y afecta a su política urbanística, ya que, al establecer el art. 38 de la Ley 9/2001, de 17 de julio, del suelo de la Comunidad Autónoma de Madrid, una reserva del 50 por 100 para vivienda protegida, ello puede originar una trama urbana con una altísima proporción de vivienda protegida congelada, afectando así al modelo de ciudad que la Comunidad Autónoma, en el uso de su competencia en materia de urbanismo, puede querer configurar. Además, considera que se lesiona también su competencia en materia de vivienda, pues el hecho de que el Gobierno central establezca una calificación perpetua de las viviendas protegidas construidas en suelos destinados por el planeamiento a vivienda protegida supone congelar dichos suelos permanentemente, sin posibilidad de que esas viviendas se descalifiquen, con lo cual el precepto estatal desvirtúa los deseos del legislador madrileño al fijar una reserva de suelo del 50 por 100. Para la Comunidad Autónoma de Madrid, al establecerse una calificación perpetua de las viviendas se está procediendo a vaciar la competencia autonómica en materia de vivienda ya que la Comunidad Autónoma ha de establecer forzosamente la calificación permanente para estas viviendas cuando la normativa autonómica utiliza el plazo en el que las viviendas han de estar protegidas como un instrumento de política de vivienda. En conclusión, a juicio de la Comunidad Autónoma de Madrid, no se acierta a entender por qué la economía nacional precisa que estas viviendas no puedan desclasificarse jamás por lo que, más que ante una medida de política económica, nos encontramos ante una medida de política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para el Abogado del Estado la limitación temporal en la descalificación voluntaria de las viviendas protegidas que hayan gozado de ayudas públicas conforme al plan estatal no constituye una regla urbanística, sino una medida básica de política económica que se inserta en la política de vivienda y que encuentra cobertura competencial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viviendas y alojamientos que se acojan a la financiación del plan estatal de vivienda deberán estar sujetas a un régimen de protección pública. Es decir, las ayudas tienen por objeto viviendas protegidas. En el glosario de conceptos utilizados en el Real Decreto 2066/2008 que aparece recogido como anexo a esta norma, las viviendas protegidas se definen como “las calificadas como de protección oficial o, más en general, como viviendas protegidas, por el órgano competente de las Comunidades Autónomas y ciudades de Ceuta y Melilla, que cumplan los requisitos establecidos en este Real Decreto. Las viviendas protegidas podrán destinarse a la venta o al arrendamiento y han de constituir el domicilio o residencia habitual y permanente de sus ocupantes, salvo en aquellos supuestos que determine expresamente este Real Decreto”. Así, las viviendas protegidas que pueden acogerse a la financiación del plan estatal de vivienda deben cumplir los siguientes requisitos enumerados en el art. 5 del Real Decreto 2066/2008: destinarse a residencia habitual y permanente del propietario o del inquilino; necesaria autorización de las Comunidades Autónomas para que la vivienda pueda transmitirse inter vivos o se pueda ceder su uso por cualquier título antes del transcurso de diez años; su venta o adjudicación sólo podrá efectuarse a demandantes inscritos en los registros públicos previstos al efecto en las Comunidades Autónomas; y, por último, estarán sometidas a los derechos de adquisición preferente y demás limitaciones determinadas por las Comunidades Autónomas que puedan materializarse en derechos de tanteo y retracto. Asimismo, las viviendas también deberán tener una superficie útil mínima y máxima de conformidad con lo dispuesto en el art. 8 del Real Decreto 2066/2008.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viviendas protegidas se caracterizan, así, por tener una serie de limitaciones que configuran un régimen jurídico de la vivienda protegida distinto del de la vivienda libre. Como ha señalado el Tribunal Supremo —Sentencia de 15 de enero de 2003— el régimen jurídico de las viviendas de protección oficial se traduce en la concesión de una serie de beneficios tanto para los promotores como para los adquirentes que tiene como contrapartida la sujeción a determinadas obligaciones que exceden de las normales que son propias de cualquier propietario no sujeto a ese régimen.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limitaciones que se imponen a las viviendas y alojamientos de protección pública que se acojan a la financiación del plan estatal de vivienda, el art. 6.1 del Real Decreto 2066/2008 introduce la prohibición de obtener la descalificación voluntaria de la vivienda de forma permanente mientras subsista el régimen del suelo, si las viviendas y alojamientos hubieran sido promovidos en suelo destinado por el planeamiento a vivienda protegida, y, en todo caso, durante un plazo no inferior a treinta años, o durante un plazo no inferior a treinta años, si las viviendas hubieran sido promovidas en otros suelos.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cuestión que debemos resolver es si puede el Estado imponer, como condición para acceder a las ayudas previstas en el plan estatal de vivienda, una duración al régimen de protección pública de las viviendas y alojamientos que se acojan a dichas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 estatal de vivienda sólo establece condiciones de financiación para las actuaciones previstas en el mismo. Es decir, como señala el Abogado del Estado, sus prescripciones limitan su eficacia a las viviendas que se acojan a la financiación del plan sin condicionar la política de vivienda que puedan desplegar las Comunidades Autónomas mediante sus propios programas.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pretende mantener un régimen jurídico de la protección pública de las viviendas y, por lo tanto, del control de precios y de las adjudicaciones, de larga duración. Si las ayudas que otorga el plan estatal de vivienda van destinadas a mejorar el acceso y uso de la vivienda a los ciudadanos con especiales dificultades económicas, la fijación de un mínimo temporal al régimen de protección pública no persigue sino garantizar la existencia de la vivienda en ese régimen y, por tanto, el cumplimiento de los fines para los cuales se ha llevado a cabo la inversión de dinero público. Como acertadamente vino a recordar, en relación con este precepto, la contestación del Gobierno de la Nación al previo requerimiento autonómico, “la duración del régimen de protección vinculado a la calificación de las viviendas protegidas, y que la Comunidad de Madrid califica de ‘perpetuo’, responde, precisamente, a la clara voluntad de asegurar tanto la honestidad como la eficacia en el uso del gasto público; siendo consustancial en toda la tradicional legislación, estatal o autonómica, sobre viviendas protegidas, cualquiera que sea su denominación a lo largo de la historia, el establecimiento de un período mínimo de vinculación a un determinado régimen jurídico tuitivo, de tal manera que el esfuerzo económico que hace la sociedad a través de los presupuestos públicos y de los recursos del conjunto del sistema financiero nacional, tenga un beneficioso efecto social y evite el enriquecimiento injustificado que podía suponer la transmisión especulativa de tales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Parece, por tanto lógico que el Estado o las Comunidades Autónomas establezcan un período mínimo de vinculación de las viviendas a un régimen jurídico de protección para compensar el esfuerzo económico realizado y que no se desvirtúe el sentido de la subvención otorgada. Nos encontramos así ante un criterio de ordenación de la vivienda con una clara finalidad económica. En efecto, la fijación de un período mínimo de vinculación de la vivienda a un régimen de protección pública constituye una auténtica contrapartida a los beneficios obtenidos con la adjudicación de dicha vivienda que garantiza el cumplimiento de los fines pretendidos con el establecimiento de estas ayudas públicas y que encuentra su fundamento en la demanda social de vivienda y en la necesidad de que exista un mercado de viviendas de protección oficial con un precio asequible. Por ello, podemos afirmar que la limitación temporal en la descalificación voluntaria de las viviendas protegidas que hayan recibido ayudas públicas conforme al plan estatal de vivienda tiene una incidencia directa y significativa en el sector económico, en la lucha contra la especulación y en la efectividad del derecho a la vivienda para los colectivos más desfavorecidos y encuentra cobertura competencial en el art. 149.1.13 CE. En este sentido, no podemos olvidar que la previsión de vivienda con un régimen de protección pública funciona como una técnica de intervención en el mercado inmobiliario con la finalidad de lograr en él los objetivos sociales y económicos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ninguna duda de que el Estado, en virtud del 149.1.13 CE, puede adoptar, en tanto que dirigido a facilitar el acceso a la vivienda, un plan consistente en la creación de ayudas dirigidas, entre otros, a los promotores de viviendas protegidas y a los demandantes de vivienda y, junto a ello, que pueda determinar los posibles beneficiarios, la cuantía que va a ser sufragada con cargo a los fondos estatales así como los requisitos para acceder a las ayudas. Todas ellas son cuestiones directamente ordenadas a la regulación del fin propuesto —facilitar el acceso a una vivienda—  formando parte de las condiciones esenciales de otorgamiento de las ayudas previstas las exigencias a cumplir para poder acceder a las mismas. En este sentido, la fijación de un plazo mínimo de duración del régimen de protección pública para aquellas viviendas que hayan accedido a las ayudas previstas en el plan constituye un elemento central de las condiciones de otorgamiento de las ayudas y resulta una exigencia de su percepción uniforme en todo el territorio nacional, garantizando así un trato igualitario a sus beneficiarios. Por ello, el art. 6.1 no vulnera las competencias de la Comunidad Autónoma de Madrid pues regula una de las condiciones que deben cumplir las viviendas de protección pública, que son precisamente el objeto de las ayudas, para poder acogerse a la financiación prevista en el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debemos tener en cuenta que, “el Estado puede regular las condiciones esenciales de otorgamiento de las ayudas hasta donde lo permita su competencia general básica o de coordinación, pero siempre que deje un margen a las Comunidades Autónomas, al menos para desarrollar y complementar la regulación de las condiciones de otorgamiento de las ayudas y su tramitación” (STC 59/1995, de 17 de marzo). En este caso, el art. 6.1 está fijando un plazo mínimo de duración del régimen de protección pública, con lo que se deja un margen a las Comunidades Autónomas para que establezcan un plazo diferente.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 promovido por la Comunidad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