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276</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diciembre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don Luis Ignacio Ortega Álvarez,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1196-2013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1196-2013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Ordenar la anotación preventiva de la demanda de amparo en el Registro de la Propiedad, a cuyo efecto el Juzgado de Primera Instancia e Instrucción núm. 3 de Mahón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fue presentado en este Tribunal el 1 de marzo de 2013, don Miguel Angel Gómez Sáenz de Ormijana interpuso recurso de amparo contra el Auto de 15 enero de 2013 del Juzgado de Primera Instancia e Instrucción núm. 3 de Mahón, que desestimó incidente de nulidad actuaciones, en el que el recurrente denunciaba vulneración de su derecho a la tutela judicial efectiva por el incumplimiento de los requisitos procesales establecidos en la Ley de enjuiciamiento civil (LEC), para la tramitación de un procedimiento ejecutivo hipotecario abierto contra él a instancia de Banco Pastor,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Auto dictado el día 7 de julio de 2011, el Juzgado de Primera Instancia e Instrucción núm. 3 de Mahón despachó ejecución a favor del Banco Pastor, S. A., frente al hoy recurrente en amparo, don Miguel Angel Gómez Sáenz de Ormijana.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la demanda de ejecución, el banco actor había facilitado un domicilio a efectos de emplazamiento en la calle Nogal núm. 26, de Majadahonda (Madrid). Siendo imposible la notificación al recurrente en esa dirección, el órgano judicial envió exhorto al Juzgado Decano de Majadahonda, que proporcionó como domicilio travesía de Navaluenga núm. 31, Las Rozas (Madrid). El servicio común de actos de comunicación devolvió diligencia negativa de emplazamiento en las dos direcciones obtenidas. Con fecha 17 de noviembre de 2011, la Secretaría judicial dicta, sin más trámite, una diligencia de ordenación en la que dice que “habiendo resultado negativas las gestiones realizadas para conocer el domicilio de la parte demandada”, acuerda requerir de pago a la parte demandada por medio de edictos que se fijaran en el tablón de anuncios de este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 fecha 9 de enero de 2012 el Banco Pastor solicita el señalamiento de fecha y hora para la subasta del inmueble. El 8 de febrero de 2012, la Secretaría judicial adopta diligencia de ordenación en la que se fija la subasta para el día 12 de abril de 2012, citándose a la parte demandada a los efectos correspondientes en el tablón de anuncios del Juzgado. La subasta se celebró el día fijado y quedó desierta, adjudicándose posteriormente el inmueble al banco actor.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26 de octubre de 2012 el recurrente interpuso incidente de nulidad de actuaciones. Afirma que conoce del proceso cuando el inmueble ya ha sido subastado y de forma casual, en el marco de otras relaciones con el Banco Pastor. Argumenta vulneración de su derecho a la tutela judicial efectiva en su vertiente de indefensión, por falta de notificación del procedimiento ejecutivo instado contra él por Banco Pastor, S.A. Asegura que el banco conocía perfectamente su nuevo domicilio, en la medida en que él lo había notificado mediante fax, el 9 de diciembre de 2008, y el Banco Pastor lo ha utilizado en sus relaciones con el recurrente en otros asuntos no referidos al inmueble objeto de ejecución. El órgano judicial desestima el incidente de nulidad y afirma que se han cumplido de forma rigurosa los requisitos procesales establecidos en la Ley de enjuiciamiento civil para la tramitación de una ejecución hipotecaria y explica: i) que se intentó notificar el Auto despachando ejecución y el requerimiento de pago en el domicilio vigente en el Registro de la Propiedad; ii) que el deudor no había ejercido la facultad del art. 683 LEC para modificar el domicilio a efectos de notificaciones y que cualquier modificación debía constar en escritura pública y haber sido inscrita en el Registro de la Propiedad, para que surtiera efectos frente a terceros. Al respecto, no podía otorgarse validez al burofax que el recurrente envió al Banco Pastor notificando el cambio de dirección, pues para un cambio de esa naturaleza el envío de un burofax a la entidad de crédito no es suficiente; iii) que ante el resultado negativo de la diligencia de notificación del ejecutado en dos domicilios diferentes —uno facilitado por el banco actor y otro por el Juzgado Decano, donde se envió exhorto—, se acordó publicar los correspondientes edictos, de conformidad con lo previsto en los arts. 164 y 686.3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alega en amparo indefensión, por no haber recibido notificación alguna, ni siquiera de la subasta del inmueble, que quedó desierta, adjudicándose el Banco Pastor el inmueble por el 60 por 100 de su valor. El recurrente alega mala fe del banco actor porque conocía el domicilio real —que el propio recurrente había notificado mediante burofax— y no lo incorporó a la demanda. Aduce igualmente incumplimiento de los deberes del órgano judicial, pues no solicitó a ninguna institución pública (Agencia Tributaria, Tesorería General de la Seguridad Social, Policía, etc.) que facilitase posibles direcciones del recurrente conforme prevé el art. 155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de amparo contiene, asimismo, la solicitud de suspensión de la ejecución de las resoluciones que originan el presente recurso de amparo, especialmente la suspensión de la ejecución del Auto de adjudicación, al objeto de impedir la entrega de la posesión del inmueble al Banco Pastor, S.A., pues de llevarse a cabo la misma se ocasionaría al recurrente un perjuicio irreparable. En un segundo otrosí, el recurrente solicita la anotación preventiva de la demanda de amparo en el Registro de la Propiedad correspondiente al inmueble subastado, para evitar que una posible transmisión por el Banco Pastor pudiera estar amparada por el art. 34 de la Ley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noviembre 2013 la Sala Primera de este Tribunal acordó la admisión a trámite de la demanda de amparo y, asimismo, la formación de pieza separada para la tramitación del incidente de suspensión y anotación preventiva solicitada, concediendo al recurrente y al Ministerio Fiscal el plazo común de tres días para que alegasen lo que estimasen pertinente sobre ambas cuestiones.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que tuvo entrada en este Tribunal el día 11 noviembre 2013, el recurrente solicitó que se acordará la anotación preventiva de la demanda en el Registro de la Propiedad, con la finalidad de que el inmueble no pudiera ser transmitido a terceros de buena fe que pudieran quedar amparados por el art. 34 de la Ley hipotecaria. En relación con la solicitud de suspensión de la ejecución del Auto de adjudicación —que implicaba la entrega de la posesión—, el recurrente explica que dicha entrega de la posesión ya se ha realizado, pues tuvo lugar el 8 de octubre de 2013 —antes de la decisión de admisión de la demanda de amparo—, por lo que su solicitud carece actualmente de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registrado el 18 de noviembre de 2013, interesa la anotación preventiva de la demanda de amparo en el Registro de la Propiedad. Declara que el Tribunal Constitucional se ha pronunciado en otras ocasiones a favor de autorizar y promover, de oficio o instancia de parte, la anotación preventiva de la demanda en el Registro de la Propiedad con el doble fin de anunciar a los interesados en la finca la existencia del proceso constitucional que cuestiona la titularidad dominical y, por otro lado, dificultar o imposibilitar la transmisión a terceros de la finca ejecutada y subastada (AATC 64/2009, 18/2012, 217/2012, entre otros). Para el Ministerio Fiscal, en el presente caso, la demanda de amparo ya admitida a trámite está basada en la lesión del art. 24.1 CE por falta de comunicación al recurrente de la existencia del proceso, habiendo sido aquel citado por edictos y, en su ausencia, adjudicándose la finca y entregándose la posesión al banco actor. Dada la situación, el Ministerio Fiscal estima que la actual titularidad dominical del banco pudiera dar lugar a la enajenación del inmueble a terceras personas, lo que perjudicaría la finalidad del amparo y haría enormemente dificultosa la recuperación del inmueble, por lo que resulta necesaria la publicidad de la existencia del proceso constitucional que alerte a los presuntos compradores sobre el cuestionamiento de la propiedad.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Como pone de relieve el Ministerio Fiscal en su escrito de alegaciones, la actual titularidad a favor del Banco Pastor, S.A., que ha ido acompañada de la entrega de la posesión del inmueble objeto de ejecución hipotecaria, pudiera dar lugar a la enajenación del mismo a terceras personas, lo que perjudicaría la finalidad del amparo y haría enormemente dificultosa y gravosa la recuperación del inmueble, por lo que resulta necesaria la publicidad de la existencia del proceso constitucional pendiente. Es por ello que procede aplicar al presente supuesto la doctrina constitucional asentada en virtud de la cual este Tribunal está facultado para acordar la anotación preventiva de la demanda de amparo en el Registro de la Propiedad (por todos, AATC 18/2012, de 30 de enero, y 217/2012, de 26 de noviembre) a fin de garantizar el derecho del demandante de amparo frente a eventuales actos de disposición, mediante el anuncio registral frente a terceros de la pendencia del proceso constitucional con sus eventuales consecuencias sobre los derechos inscritos. Se trata de una medida cautelar que este Tribunal, de conformidad con el art. 56.3 de la Ley Orgánica del Tribunal Constitucional, puede adoptar a instancia de parte, con fundamento en el art. 42.1 de la Ley hipotecaria y una de cuyas finalidades es que el Registro de la Propiedad sea fiel trasunto de la realidad jurídica —en este caso, la pendencia del presente proceso constitucional— y, por ende, un eficaz instrumento de seguridad jurídica. Por consiguiente, en virtud de las razones expuestas, procede acordar la anotación preventiva de la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Ordenar la anotación preventiva de la demanda de amparo en el Registro de la Propiedad, a cuyo efecto el Juzgado de Primera Instancia e Instrucción núm. 3 de Mahón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diciembre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