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4969-2013, promovido por don Antonio Venere, representado por el Procurador de los Tribunales don Domingo José Collado Molinero y asistido por la Abogada doña María Teresa Parejo Sousa, contra el Auto de la Sección Tercera de la Sala de lo Penal de la Audiencia Nacional de 26 de julio de 2013, dictado en rollo de Sala núm. 135-2013, dimanante del procedimiento de orden europea de detención y entrega núm. 96-2013 del Juzgado Central de Instrucción núm. 5, que acordó la entrega del demandante de amparo a las autoridades judiciales italianas para el cumplimiento de la pena privativa de libertad impuesta en Sentencia dictada en rebeldía por un delito contra la salud pública.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agosto de 2013, don Domingo José Collado Molinero, Procurador de los Tribunales, en nombre y representación de don Antonio Venere,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recurso de amparo son los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de nacionalidad italiana, fue puesto a disposición del Juzgado Central de Instrucción núm. 5 de la Audiencia Nacional en virtud de orden europea de detención y entrega expedida por las autoridades judiciales de Italia para cumplimiento de la condena de dos años, cuatro meses y un día de prisión, que le fue impuesta en Sentencia de 10 de octubre de 2012, dictada en rebeldía, por un delito de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Incoado el procedimiento de orden europea de detención y entrega núm. 96-2013, el 1 de julio de 2013 se celebró la comparecencia legalmente establecida, no aceptando el recurrente su entrega a Italia, alegando tener arraigo en España desde 1999 y sosteniendo que el art. 12.2 f ) de la Ley 3/2003, de 14 de marzo, sobre la orden europea de detención y entrega, debe ser interpretado a la luz del art. 4.6 de la Decisión Marco 2002/584/JAI del Consejo, de 13 de junio (en adelante Decisión Marco 2002), relativa a la orden de detención europea y a los procedimientos de entrega entre Estados miembros, y la Sentencia del Tribunal de Justicia de la Unión Europea (Gran Sala) de 5 de septiembre de 2012 (asunto C-42/11, Lopes Da Silva); pues entiende el recurrente que, conforme a lo previsto en ese precepto de la Decisión Marco, los residentes se equiparan con los nacionales a efectos de la posible denegación de la ejecución de una orden europea de detención y entrega. Subsidiariamente solicitó el planteamiento de una cuestión prejudicial ante el Tribunal de Justicia de la Unión Europea sobre el referido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de lo Penal de la Audiencia Nacional, mediante Auto de 26 de julio de 2013 (rollo de Sala núm. 135-2013), acordó la entrega del recurrente a Italia, por estimar que no concurre circunstancia imperativa ni facultativa que permitiera denegarla. La transposición de la Decisión Marco 2002 al ordenamiento interno por la Ley 3/2003, no equiparó la condición de residente a la de nacional, rechazando además la Sala la solicitud de plantear cuestión prejudicial ante el Tribunal de Justicia de la Unión Europea sobre este extremo. Añade el Auto que la posibilidad de cumplimiento de la condena en España por residentes de Estados miembros, en aplicación del Convenio del Consejo de Europa de 21 de marzo de 1983, sobre traslado de personas condenadas, queda fuera del ámbito de aplicación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este Auto el recurrente formuló incidente de nulidad, que fue inadmitido por providencia de 7 de agosto de 2013, al considerar el órgano judicial que el recurrente pretende reproducir sus alegaciones en la comparecencia, a las que ya se dio respuesta en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la tutela judicial efectiva (art. 24.1 CE), en relación con los derechos a un proceso con todas las garantías (art. 24.2 CE), a la libertad personal (art. 17.1 CE) y a la libertad de residencia (art. 19 CE), todo ello en conexión con los arts. 6 y 8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recurrente que la Sección Tercera de la Sala de lo Penal de la Audiencia Nacional no ha dado respuesta al motivo de oposición a la entrega esgrimido en la comparecencia, referido a que el art. 12.2 f) de la Ley 3/2003 debe ser interpretado a la luz del art. 4.6 de la Decisión Marco 2002, y de la Sentencia del Tribunal de Justicia de la Unión Europea de 5 de septiembre de 2012, asunto Lopes Da Silva. Alude a que, conforme a lo previsto en el citado art. 4.6 de la Decisión Marco, a la referida Sentencia del Tribunal de Justicia de la Unión Europea y al principio de no discriminación de los nacionales de los Estados miembros (art. 18 del Tratado de funcionamiento de la Unión Europea: TFUE), los residentes comunitarios se equiparan con los nacionales a efectos de la posible denegación de la ejecución de una orden europea de detención y entrega. El recurrente, de nacionalidad italiana, reside y acredita arraigo laboral y familiar en España desde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alegato sirve al recurrente de base para justificar la especial trascendencia constitucional del recurso de amparo, que residiría justamente en la inexistencia de doctrina constitucional sobre la interpretación que debe darse a la causa facultativa de denegación de entrega prevista en el art. 12.2 f) de la Ley 3/2003, en relación con lo dispuesto en el art. 4.6 de la Decisión Marco 2002, por lo que atañe a la equiparación de los residentes comunitarios con los nacionales a efectos de la posible denegación de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vulnerado el principio de igualdad en la aplicación de la ley (art.14 CE), en relación con todos los derechos invocados en el primer motivo de amparo, pues, según el recurrente (que cita como término de comparación un Auto de la Sección Segunda de la Sala de lo Penal de la Audiencia Nacional de 21 de marzo de 2011), ante supuestos semejantes la Audiencia Nacional ha denegado la entrega de residentes en España, al equipararlos a reclamados con nacionalidad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recurrente que se le otorgue amparo, declarando la nulidad del Auto impugnado, que acordó su entrega a Italia para cumplir la pena privativa de libertad por la que ha sido reclamado. Por otrosí solicita la suspensión de la ejecución de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septiembre de 2013 la Sala Primera de este Tribunal acordó admitir a trámite la presente demanda de amparo y, en aplicación de lo dispuesto en el art. 51 de la Ley Orgánica del Tribunal Constitucional (LOTC), dirigir atenta comunicación al Juzgado Central de Instrucción núm. 5 y a la Sección Tercera de la Sala de lo Penal de la Audiencia Nacional para que en el plazo de diez días remitieran testimonio, respectivamente, del procedimiento de orden europea de detención y entrega núm. 96-2013 y del rollo de Sala núm. 135-2013, así como para que se emplazase a quienes hubieran sido parte en el procedimiento,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cual, tras los trámites oportunos, se dictó ATC 241/2013, de 21 de octubre, que acordó archivar las actuaciones del incidente de suspensión por pérdida de objeto, al haber sido entregado el recurrente a las autoridades judiciales italianas el día 30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28 de octubre de 2013 se acordó dar vista de las actuaciones a la representación del recurrente y al Ministerio Fiscal por plazo común de veinte días para que presentaran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por escrito registrado en este Tribunal el 2 de diciembre de 2013, se ratificó en las alegaciones expuestas en la demanda y añadió la cita de dos Autos de la Sala de lo Penal de la Audiencia Nacional, uno de la Sección Primera y otro de la Sección Segunda, de fechas posteriores a la presentación de la demanda de amparo, en relación con la alegada vulneración del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en este Tribunal el 23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el Fiscal que el Auto impugnado vulnera el derecho del recurrente a la tutela judicial efectiva sin indefensión (art. 24.1 CE), al incurrir en incongruencia omisiva por no dar una respuesta razonada y razonable a su pretensión de que se le aplicara el art. 12.2 f) de la Ley 3/2003 en relación con el art. 4.6 de la Decisión Marco 2002, interpretado de acuerdo con la doctrina sentada por la Sentencia del Tribunal de Justicia de la Unión Europea (STJUE) de 5 de septiembre de 2012, asunto Lopes Da Silva, y con el principio de no discriminación de los nacionales de los Estados miembros (arts. 18 TFUE y 21 de la Carta de los derechos fundamentales de la Unión Europea). El Auto impugnado se limita a afirmar que no es posible equiparar a los residentes con los nacionales a efectos de la aplicación de la causa facultativa de denegación de entrega prevista en el art. 12.2 f) de la Ley 3/2003. Pero no se pronuncia sobre la interpretación dada al art. 4.6 de la Decisión Marco 2002 por la STJUE de 5 de septiembre de 2012, asunto Lopes Da Silva (invocada por el recurrente), ni tiene en cuenta la primacía del Derecho de la Unión Europea en la interpretación de las normas nacionales que lo incorporan, ni valora la posible infracción del principio de no discriminación de los nacionales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vulneración del derecho a la tutela judicial efectiva conlleva —concluye el Fiscal— la vulneración de los derechos a la libertad personal (art. 17.1 CE) y a la libertad de residencia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estima el Fiscal que no puede considerarse vulnerado el derecho a un proceso con todas las garantías (art. 24.2 CE), al no contener la demanda ningún argumento que sirva de sustento a la supuesta lesión ni advertirse en cualquier caso defecto alguno en la tramitación del procedimiento que haya quebrantado ninguna garantía procesal. Tampoco aprecia el Fiscal que se haya producido la lesión del derecho a la igualdad en la aplicación de la ley (art. 14 CE) que aduce el recurrente, toda vez que las resoluciones que se ofrecen como contraste no han sido dictadas por el mismo órgano jurisdiccional, pues la exigencia de identidad de órgano judicial no se refiere sólo a la Sala, sino también a la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se otorgue el amparo declarando que el Auto impugnado, en cuanto no resulta debidamente fundado en derecho, ha vulnerado los derechos del recurrente a la libertad personal (art. 17.1 CE) y a la libertad de residencia (art. 19 CE), si bien este pronunciamiento ha de tener un alcance meramente declarativo, al haber sido entregado el recurrente a las autoridades judiciales italianas el día 30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abril de 2014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de nacionalidad italiana, impugna el Auto de la Sección Tercera de la Sala de lo Penal de la Audiencia Nacional de 26 de julio de 2013, dictado en procedimiento de orden europea de detención y entrega, que acordó su entrega a las autoridades judiciales de su país de origen para el cumplimiento de una pena privativa de libertad, que le fue impuesta por Sentencia dictada en rebeldía por un delito de tráfico de drogas. Ha de entenderse que el recurso de amparo se extiende también a la providencia de 7 de agosto de 2013, que inadmitió el incidente de nulidad promovido por el recurrente contra el referido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fundamenta en dos quejas. En la primera se alega la vulneración del derecho a la tutela judicial efectiva (art. 24.1 CE), en relación con los derechos a un proceso con todas las garantías (art. 24.2 CE), a la libertad personal (art. 17.1 CE) y a la libertad de residencia (art. 19 CE), pues considera el recurrente que la Audiencia Nacional no ha dado respuesta motivada a su alegato de oposición a la entrega basado en la equiparación con los españoles, por ser ciudadano de un Estado miembro de la Unión Europea con residencia en España desde 1999. En la segunda se alega la vulneración del derecho a la igualdad en la aplicación de la ley (art.14 CE), pues afirma el recurrente que en supuestos semejantes de aplicación del procedimiento de orden europea de detención y entrega la Audiencia Nacional ha denegado la entrega de ciudadanos de otros Estados miembros residentes en España, al equipararlos a estos efectos con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sea otorgado el amparo al recurrente por vulneración del derecho a la tutela judicial efectiva, que conlleva la lesión de los derechos a la libertad personal y a la libertad de residencia, conforme ha quedado expuesto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el examen de la primera queja del recurrente, referida a lesión del derecho a la tutela judicial efectiva en relación con los derechos a un proceso con todas las garantías, a la libertad personal y a la libertad de residencia, debemos precisar los contornos del canon constitucional que hemos de emplear; no sin antes advertir que la pretendida vulneración del derecho a un proceso con todas las garantías (art. 24.2 CE) carece de sustantividad propia, por lo que no requiere ser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doctrina de este Tribunal, el derecho a la tutela judicial efectiva (art. 24.1 CE) comprende el derecho de los justiciables a obtener de órganos judiciales una respuesta congruente, motivada y fundada en Derecho sobre el fondo de las pretensiones oportunamente deducidas en el proceso. Ello significa, en primer lugar, que la resolución judicial ha de estar motivada, es decir, contener los elementos y razones de juicio que permitan conocer cuáles han sido los criterios jurídicos que fundamentan la decisión (SSTC 58/1997, de 18 de marzo, FJ 2, y 25/2000, de 31 de enero, FJ 2). En segundo lugar, que la motivación esté fundada en Derecho (SSTC 276/2006, de 25 de septiembre, FJ 2, y 64/2010, de 18 de octubre, FJ 3) o, lo que es lo mismo, que sea consecuencia de una exégesis racional del ordenamiento y no fruto de un error patente o de la arbitrariedad (por todas, STC 146/2005, de 6 de junio, FJ 7). Lo anterior conlleva la garantía de que el fundamento de la decisión sea la aplicación no arbitraria de las normas que se consideren adecuadas al caso.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221/2001, de 31 de octubre, FJ 6, y 308/2006, de 23 de octubre, por todas). En definitiva, el art. 24.1 CE impone a los órganos judiciales no sólo la obligación de ofrecer una respuesta motivada a las pretensiones deducidas, sino que, además, esta ha de tener contenido jurídico y no resultar arbitraria (SSTC 8/2005, de 17 de enero, FJ 3; 13/2012, de 30 de enero, FJ 3, y 27/2013, de 11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asimismo declarado reiteradamente que el canon de constitucionalidad aplicable es un canon reforzado cuando el derecho a la tutela judicial efectiva se impetra para la defensa de un derecho sustantivo fundamental (entre otras muchas, SSTC 196/2005, de 18 de julio, FJ 3; 293/2006, de 10 de octubre, FJ 3; 120/2008, de 23 de octubre, FJ 2, y 191/2009, de 28 de septiembre, FJ 4). Así sucede en este caso, en el que en la vía judicial previa se denunciaba la vulneración del derecho a la libertad personal (art. 17.1 CE) y del derecho a la libertad de residencia (art. 19 CE), por los efectos que despliega la entrega del recurrente a las autoridades italianas para el cumplimiento de una pena privativa de libertad. Las decisiones judiciales como las que aquí se impugnan están especialmente cualificadas en función de los derechos fundamentales sustantivos sobre los que recaen, sin que a este Tribunal, garante último de los derechos fundamentales a través del recurso de amparo, pueda resultarle indiferente aquella cualificación cuando se impugnan ante él este tipo de resoluciones judiciales. No sólo se encuentra en juego el derecho a la tutela judicial efectiva (art. 24.1 CE), sino que puede producirse un efecto derivado o reflejo sobre la reparación del derecho fundamental sustantivo cuya invocación sostenía la pretensión ante el órgano judicial (SSTC 10/2001, de 29 de enero, FJ 5; 203/2002, de 28 de octubre, FJ 3, y 142/2004, de 13 de septiembre,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canon de control constitucional expuesto, procede que examinemos si el Auto impugnado, que acordó la entrega del recurrente a Italia para el cumplimiento de una pena privativa de libertad, en el marco de un procedimiento de orden europea de detención y entrega, satisface las exigencias de motivación reforzada que impone la doctrina constitucional en estos supuestos. El análisis de la fundamentación del Auto impugnado precisa recordar la causa alegada por el recurrente para oponerse a su entrega a las autoridades judiciales italianas.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oposición invocada fue la prevista en el art. 12.2 f) de la Ley 3/2003, de 14 de marzo, sobre la orden europea de detención y entrega. En virtud de esta disposición, la autoridad judicial de ejecución podrá denegar la entrega cuando la persona reclamada sea de nacionalidad española (salvo que consienta en cumplir la pena en el Estado de emisión de la orden europea). A esta causa facultativa de denegación el recurrente, de nacionalidad italiana, pretendió equiparar su condición de residente en España (desde el año 1999, con arraigo laboral y familiar), con fundamento en lo dispuesto en el art. 4.6 de la Decisión Marco 2002/584/JAI del Consejo, de 13 de junio (Decisión Marco 2002), relativa a la orden de detención europea y a los procedimientos de entrega entre Estados miembros (instrumento jurídico de la Unión que traspone la Ley 3/2003). Ese precepto de la Decisión Marco extiende tanto a los nacionales como a los residentes del Estado miembro la posible causa facultativa de denegación de la ejecución y también a los que habiten en él (siempre que el Estado de ejecución se comprometa a ejecutar él mismo dicha pena de conformidad con su Derecho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el recurrente invocaba también la Sentencia del Tribunal de Justicia de la Unión Europea de 5 de septiembre de 2012, asunto Lopes Da Silva, que resuelve una cuestión prejudicial de interpretación del art. 4.6 de la Decisión Marco 2002, planteada por un tribunal francés en un supuesto similar al de la presente demanda de amparo, pues en aquel caso el reclamado, de nacionalidad portuguesa, se oponía a su entrega a las autoridades de su país para el cumplimiento de una pena privativa de libertad por tráfico de drogas, alegando su condición de residente en Francia. La Ley francesa de transposición de la Decisión Marco 2002 no contempla tampoco (al igual que sucede en el caso de la legislación española) la equiparación de los residentes con los nacionales a efectos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STJUE de 5 de septiembre de 2012, asunto Lopes Da Silva, por lo que aquí interesa, determina que el artículo 4, número 6, de la Decisión marco 2002/584 y el artículo 18 del Tratado de funcionamiento de la Unión Europea deben interpretarse en el sentido de que un Estado miembro puede, en el marco de la transposición de dicho artículo 4, número 6, optar por limitar las situaciones en las que la autoridad judicial de ejecución nacional puede denegar la entrega de una persona comprendida en el ámbito de aplicación de esa disposición. No puede excluir, sin embargo, de manera absoluta y automática, de ese ámbito a los nacionales de otros Estados miembros que habiten o residan en su territorio sin tener en cuenta los vínculos que éstos tengan con el mismo (§§ 52 y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conforme a la misma STJUE de 5 de septiembre de 2012, asunto Lopes Da Silva, si al transponer el art. 4.6 de la Decisión Marco 2002, el Estado miembro ha excluido de manera absoluta y automática de su ámbito de aplicación a nacionales de otros Estados miembros que habiten o residan en su territorio, sin tener en cuenta los vínculos que éstos tengan con el mismo, los órganos judiciales nacionales quedan obligados, en tanto permanezca esta situación y dado el carácter vinculante de la Decisión Marco, a realizar una interpretación conforme del Derecho nacional (§§ 53 y 54). En ella, “tomando en consideración la totalidad de su Derecho interno y aplicando los métodos de interpretación reconocidos por éste, hagan todo lo que sea de su competencia a fin de garantizar la plena efectividad de la Decisión marco de que se trate y alcanzar una solución conforme con el objetivo perseguido por ésta” (§ 56). Para ello se deberá tener en cuenta, “no sólo las disposiciones que tienen por objeto llevar a cabo la transposición de la Decisión marco 2002/584, sino también los principios y las disposiciones del ordenamiento jurídico interno que regulan las consecuencias que un juez puede deducir de una discriminación prohibida por el Derecho nacional, y en particular aquellas que permiten al Juez paliar tal discriminación hasta que el legislador adopte las medidas necesarias para su eliminación” (§ 57). Todo ello “sobre la base de una apreciación global de los elementos objetivos que caracterizan la situación de esa persona, vínculos suficientes —en particular familiares, económicos y sociales— que puedan demostrar su integración en la sociedad de ese Estado de modo que se encuentre efectivamente en una situación comparable a la de un nacional”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visto, el Auto de la Sección Tercera de la Sala de lo Penal de la Audiencia Nacional rechazó el motivo de oposición a la entrega a las autoridades italianas alegado por el recurrente limitándose a razonar que no concurre circunstancia imperativa ni facultativa que permita denegar la entrega conforme al art. 12 de la Ley 3/2003. Entiende que la transposición de la Decisión Marco 2002 al ordenamiento interno por dicha Ley “no permite lo que pretende la defensa del recurrente de equiparar nacional a residente y por ello no le es aplicable el cumplimiento de las penas en España, cuando de la aplicación de la OEDE, como es el caso presente, se trata”. No sería, pues, necesario “plantear cuestión prejudicial alguna ante el Tribunal de Justicia de la Unión Europea sobre este extremo”. El Auto añade que la posibilidad de cumplimiento en España de las penas por los residentes en el ámbito de la Unión Europea, de acuerdo con el Convenio del Consejo de Europa sobre traslado de personas condenadas, de 21 de marzo de 1983, queda fuera del ámbito de aplicación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Auto recurrido, como única respuesta a la causa de oposición alegada por el recurrente con fundamento en lo dispuesto en el art. 4.6 de la Decisión Marco 2002 interpretado por la citada STJUE de 5 de septiembre de 2012, asunto Lopes Da Silva, se limita a afirmar que no concurre el presupuesto fáctico previsto en el art. 12.2 f) de la Ley 3/2003 como causa facultativa de denegación de la entrega. Lo funda en no tener el recurrente nacionalidad española, y rechazando que los residentes se equiparen con los nacionales a estos efectos; por la única razón de que el citado art. 12.2 f) de la Ley 3/2003, al trasponer la Decisión Marco 2002, ha optado por no contemplar esa equiparación.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contiene pues en el Auto impugnado respuesta expresa —ni cabe deducirla tampoco del conjunto de los razonamientos jurídicos de la resolución— sobre las concretas circunstancias alegadas por el recurrente para fundamentar su pretensión de equiparación con las personas de nacionalidad española: que reside y acredita arraigo laboral y familiar en España desde 1999, en la que se sustenta su oposición a ser entregado a las autoridades italianas. No se ofrecen en el Auto las razones por las que el órgano judicial no se siente vinculado, a la hora de interpretar y aplicar al caso el art. 12.2 f) de la Ley 3/2003, por lo dispuesto en el art. 4.6 de la Decisión Marco 2002, interpretado por la STJUE de 5 de septiembre de 2012, asunto Lopes Da Silva, en los términos y con el alcance que antes han quedado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la fundamentación del Auto impugnado no satisface las exigencias constitucionales de motivación de las resoluciones judiciales que han de resolver cuestiones en las que se encuentran afectados derechos fundamentales sustantivos, como en este caso sucede, por lo que procede otorgar el amparo y anular el Auto recurrido —así como la providencia que inadmite el incidente de nulidad promovido contra el mismo— si bien nuestro pronunciamiento habrá de tener un alcance meramente declarativo pues, como ha sido puesto de relieve en los antecedentes de la presente Sentencia, el 30 de agosto de 2013 fue ejecutado el Auto impugnado y entregado el recurrente a las autoridades judiciales italianas (STC 199/2009, de 28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por vulneración del derecho a la tutela judicial efectiva (art. 24.1 CE), en relación con los derechos a la libertad personal (art. 17.1 CE) y a la libertad de residencia (art. 19 CE), hace innecesario que nos pronunciemos sobre la segunda queja deducida por el recurrente, referida a la supuesta lesión del derecho a la igualdad en la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a don Antonio Venere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relación con los derechos a la libertad personal (art. 17.1 CE) y a la libertad de residencia (art. 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la Sección Tercera de la Sala de lo Penal de la Audiencia Nacional de 26 de julio de 2013, dictado en rollo de Sala núm. 135-2013, dimanante del procedimiento de orden europea de detención y entrega núm. 96-2013 del Juzgado Central de Instrucción núm. 5, así como de la providencia de 7 de agosto de 2013 que no admitió a trámite el incidente de nulidad de actuaciones promovido contra dicho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