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7357-2013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de la disposición adicional primera de la mencionada Ley 4/2013.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18 de diciembre de 2013 el Abogado del Estado, en nombre del Presidente del Gobierno, interpuso recurso de inconstitucionalidad contra 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contra la disposición adicional primera de la mencionada Ley 4/2013.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enero de 2014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 la Junta de Andalucía y al Parlamento de Andalucía,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—18 de diciembre de 2013— para las partes del proceso y desde el día en que aparezca publicada la suspensión en el “Boletín Oficial del Estado” para los terceros, lo que se comunicó a los Presidentes de la Junta de Andalucía y del Parlamento de Andalucía. Por último, también se ordenó publicar la incoación del recurso en el “Boletín Oficial del Estado” y en el “Boletín Oficial de la Junta de Andalucía”. El recurso se publicó en el “Boletín Oficial del Estado”, núm. 15, de 17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22 de enero de 2014, comunicó que la Mesa de la Cámara, en su reunión de 21 de enero, había acordado la personación en este procedimiento y el ofrecimiento de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24 de enero de 2014 la Letrada de la Junta de Andalucía solicitó que se tuviera por personada a la Junta de Andalucía y la ampliación del plazo para formular el escrito de alegaciones. El 27 de enero de 2014 el Pleno del Tribunal Constitucional acordó incorporar a las actuaciones el escrito de la Letrada, tener por personada a la Junta de Andalucía y prorrogar en ocho días el plazo concedido por la providencia de 14 de enero de 2014, a contar desde el día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30 de enero de 2014 la Letrada del Parlamento de Andalucía solicitó que se tuviera por personada al Parlamento de Andalucía y la ampliación del plazo para formular el escrito de alegaciones. El 3 de febrero de 2014 el Pleno del Tribunal Constitucional acordó incorporar a las actuaciones el escrito de la Letrada, tener por personado al Parlamento de Andalucía y prorrogar en ocho días el plazo concedido por la providencia de 14 de enero de 2014, a contar desde el día siguiente al de expiración del plazo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18 de febrero de 2014 la Letrada de la Junta de Andalucía presentó sus alegaciones interesando la desestimación del recurso de inconstitucionalidad, instando mediante otrosí el levantamiento de la suspensión de la disposición impugnada antes de que transcurriera el plazo de cinco meses previstos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subraya que el error del recurso estriba en que, al tratar la vivienda como un simple activo financiero, difícilmente se puede probar por la Abogacía del Estado que la regulación autonómica tenga efectos negativos en la economía, ya que la Ley impugnada parte de la concepción de la vivienda como un derecho, responde al mandato constitucional previsto en el art. 47 CE y nace como consecuencia de la situación actual de emergencia social y económica, adoptando medidas con base en los principios de subsidiariedad y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la solicitud específica del levantamiento de la suspensión de la eficacia de los preceptos recurridos, se comienza recordando la posibilidad admitida por la doctrina constitucional de que la Comunidad autora de la disposición recurrida puede solicitar anticipadamente el levantamiento de la suspensión acordada sin agotar el plazo de cinco meses y se señala que, en el presente caso, el levantamiento viene justificado por la situación de emergencia social que aborda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importancia del mandato constitucional contenido en el art. 47 CE, que debe ser interpretado con arreglo a los arts. 1 y 10.1 CE y que en tiempos de tribulaciones económicas exige especiales esfuerzos a los poderes públicos para proteger a los ciudadanos más desfavorecidos. Teniendo en cuenta que Andalucía es una de las Comunidades Autónomas en las que mayor número de desahucios se ha producido, que la ausencia de vivienda conlleva en la práctica la imposibilidad de ejercer otros derechos, que la Comunidad Autónoma posee un enorme parque de viviendas sin uso o infrautilizado y una demanda insatisfecha, con una oferta insuficiente y a precios no adecuados, en el contexto de la actual crisis económica la promulgación de la Ley 4/2013 aparece como una exigencia del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daño a los intereses privados que podría causar el levantamiento de la suspensión, se pone de manifiesto que, si en el incidente de mantenimiento o levantamiento de la suspensión del Decreto-ley se había recibido un total de ciento cincuenta solitudes de inicio del procedimiento de expropiación temporal por tres años del uso de la vivienda habitual, en el momento actual las solicitudes ascienden a 191. De ellas, se han inadmitido 41 por falta de cumplimiento de los requisitos legalmente establecidos y se han archivado seis, por lo que se están tramitando 144 solicitudes de personas que, con necesidad de vivienda, se encuentran en especiales circunstancias y a las que la suspensión operada por la invocación del art. 161.2 CE dejará desprotegidos.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expone la insuficiencia de otras medidas alternativas, como la suspensión del lanzamiento que contempla le Ley estatal 1/2013, de 14 de mayo (por la rigidez de los requisitos establecidos y por lo limitado de la suspensión, dos años desde la entrada en vigor de la Ley y no desde la efectiva situación de lanzamiento), las medidas de asistencia social (por imposibilidad de obtener más recursos públicos a este efecto) o la utilización del parque público de viviendas de Andalucía (por estar plenamente optimizado en la actualidad).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se considera que el Estado no ha podido acreditar que sean reales las hipotéticas consecuencias que dice derivarse de la aplicación de la Ley en relación con el proceso de reestructuración del sector bancario y de la prima de riesgo. Por un lado, se alega que la carta del Director general adjunto de Asuntos Económicos y Financieros de la Comisión Europea, en representación de ésta, dirigida al Secretario de Estado de Economía y Apoyo a la Empresa del Ministerio de Economía y Competitividad no puede tener valor probatorio, pues es una mera carta y no un informe elaborado por los técnicos de la Comisión Europea, en la que la Comisión se abstiene de hacer un cálculo del efecto real que el Decreto-ley autonómico podría tener para el mercado inmobiliario y el sistema financiero en su conjunto. Por otro lado, se desgranan diversas objeciones contra el informe elaborado por la Sociedad de Gestión de Activos procedentes de la Reestructuración Bancaria (SAREB) sobre los impactos directos e indirectos que las medidas andaluzas impugnadas tendrán en los activos inmobiliarios gestionados en Andalucía: a) falta la firma del informe; b) la vivienda es una parte menor de la cartera de la SAREB, pues el ochenta por ciento son activos financieros; c) el porcentaje de viviendas vacías que corresponden a SAREB en Andalucía es solo uno por ciento del total; d) no se distingue a estos efectos entre el régimen de vivienda libre y protegida; e) los pretendidos daños a la SAREB son daños a los intereses privados de terceros, no a los intereses públicos, pues el Estado participa de forma esencial pero no mayoritaria. Se arguye que hacer recaer el pretendido daño a los intereses generales en una doble hipótesis para terminar en un “quizás” (se podrían causar cuantiosas pérdidas para la SAREB, lo que podría suponer nuevas exigencias de capitalización para las entidades privadas partícipes de la SAREB, que quizás debiera sufragar el Fondo de reestructuración ordenada bancaria), no parece un argumento muy contundente a la hora de afirmar el daño a los intereses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que conforme a la doctrina constitucional corresponde al Estado demostrar o, al menos, razonar consistentemente la existencia de perjuicios de imposible o difícil reparación, descarta los planteamientos que sustentan el recurso. Las medidas que contempla la Ley, particularmente el régimen sancionador y la expropiación de uso temporal por tres años de inmuebles deshabitados, no son capaces de alterar el sistema financiero e incluso la prima de riesgo española. Medidas equivalentes no han provocado una reacción contraria o de notoria preocupación en la Comisión Europea. Y se aportan sendos informes elaborados por expertos y profesores universitarios en la materia para rebatir desde la teoría económica cuanto se asevera en el informe de SAREB. De uno de los informes destaca la conclusión de que las medidas contempladas pueden tener un efecto muy positivo en el equilibrio del sector financiero y de la economía en general, por relanzar el mercado de viviendas de alquiler. Del otro, que el recurso, si bien se apoya en gran parte en el informe de estabilidad financiera publicado por el Banco de España con fecha de noviembre de 2012, argumentando en esencia lo delicado de la situación de las entidades de crédito españolas y del sistema financiero en general, hace caso omiso de una serie de acontecimientos relevantes: la ingente cantidad de recursos públicos puestos a disposición del sector financiero, el fin del proceso de rescate declarado por el Eurogrupo el 14 de noviembre de 2013, los beneficios obtenidos por los principales bancos españoles reflejados en sus informes trimestrales, y las perspectivas positivas para el futuro del sector bancario, elaboradas por el propio Banco de España en su último informe de estabilidad financiera de noviembre de 2013; en suma, el recurso hace referencia a una situación económica que no se corresponde con la realidad actual, así como a situaciones de incertidumbre que han sido despejadas por los propios acontecimientos.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24 de febrero de 2014 la Letrada del Parlamento de Andalucía presentó alegaciones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acuerdo del Pleno de 27 de febrero de 2014 se concedió a las partes un plazo de cinco días para exponer lo que consideraren conveniente acerca del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día 5 de marzo de 2014 la Letrada de la Junta de Andalucía solicitó de nuevo el levantamiento de la suspensión antes del transcurso del plazo de cinco, reiterando alegaciones similares a las ya formuladas al respecto en el escrito de oposición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con fecha 10 de marzo de 2014,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que la Ley 4/2013 tiene un contenido idéntico al Decreto-ley 6/2013 que lo precede, por lo que los tres informes que aporta (elaborados por el Ministerio de Economía y Competitividad, el Banco de España y la SAREB) tienen también el mismo contenido. La mejora económica a la que se refieren las alegaciones se debe en parte a las medidas adoptadas por el Gobierno, y en cualquier caso no pueden minimizar los perjuicios al interés general que puede causar el levantamiento de la suspensión acordada. Y respecto al informe de la SAREB señala el carácter público del proyecto de dicha sociedad destinada a atender un objetivo de interés general tan importante para España como el saneamiento del sistema financiero. A este respecto el Abogado del Estado afirma que el levantamiento de la suspensión podría acarrear perjuicios de muy difícil reparación por cuanto afecta de modo directo y expreso a la finalidad y actividad de SAREB, cuyo éxito es garantía de que la reestructuración de las entidades de crédito que se ha realizado en los últimos meses se realiza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informe del Banco de España señala que “para una valoración del impacto potencial de esta medida sería necesario un conjunto de datos de los que no se dispone en este momento” (número de personas que podrían beneficiarse de la medida de expropiación forzosa temporal, el importe del justiprecio que recibiría la entidad de crédito, y la rentabilidad esperada para la entidad de crédito si pudiera disponer libremente de la vivienda en los próximos tres años, incluyendo la posibilidad de enajenarla). Por ello, ante la imposibilidad de un análisis cuantitativo, se afirma realizar un análisis serio y profundo de naturaleza cualitativa, que se centra en el impacto potencial para el sector bancario.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que el Estado ya ha reaccionado ante la realidad que dice abordar la Ley andaluza (primero, mediante el Real Decreto-ley 27/2012, de 15 de noviembre, derogado tras ser tramitado como ley por la Ley 1/2013, de 14 de mayo, de medidas para reforzar la protección a los deudores hipotecarios, reestructuración de deuda y alquiler social, y, segundo, mediante el convenio firmado por el Gobierno y las entidades de crédito para la creación de un fondo social de viviendas), produciéndose por tanto una duplicidad de normas para perseguir efectos similares con la consiguiente inseguridad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invocación de la necesidad de preservar el derecho a la vivienda digna (art. 47 CE), se señala que la tacha de inconstitucionalidad se encuentra en la infracción de competencias estatales, como es la determinación del contenido esencial de la función social de la propiedad, lo que genera graves problemas para la implementación por el Estado de reformas de una enorme trascendencia en este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rechaza el argumento del daño que se incurriría a las ciento cuarenta y cuatro familias que se han acogido a las medidas andaluzas, pues ello equivaldría a otorgar primacía al mantenimiento de los hechos consumados sobre cualquier argumentación de índole jurídica. En cualquier caso, esos perjuicios no son tales pues la Junta de Andalucía, a través de sus competencias en servicios sociales, puede atender a las familias necesitadas con medidas sociales de alojamiento.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levantamiento de la suspensión de la norma impugnada supondrá, según alega, el incumplimiento de los compromisos internacionales asumidos por España, fundamentalmente del memorando de entendimiento firmado por España el 20 de julio de 2012, en el marco de la ayuda financiera otorgada a nuestro país por la Unión Europea, que está constituyendo la clave para la superación de la crisis del sistema financiero español y que exige comunicar a las instituciones europeas toda medida que se vaya a adoptar y que pueda tener un impacto en la estabilidad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Gobierno sostiene que las medidas propuestas pueden presentar un impacto significativo sobre la situación financiera de las entidades, el crédito hipotecario, el mercado de cédulas hipotecarias y en la adecuada finalización del proceso de reforma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primer lugar, el coste más claro y directo al que podrían tener que hacer frente las entidades es la imposición de sanciones por infracción grave consistentes en no dar habitación a las viviendas durante seis meses consecutivos. Pues bien, si se estima que en Andalucía las entidades disponen de 16.674 viviendas, si todas se encontrasen en una situación que diera lugar a infracción grave, ello supondría una multa total de 148.262.091 €. A ello se añadiría otros efectos indirectos, como la pérdida de valor de los inmuebles adjudicados. En definitiva, las medidas reducen la capacidad de las entidades de crédito de generar resultados positivos suficientes, lo que es imprescindible para mantener su solvencia y, con ello, la estabilidad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segundo lugar, se perjudica el valor de la garantía hipotecaria. En caso de ejecución el precio al que estaría dispuesto a pujar en la subasta sería menor, con lo que el valor efectivo de la garantía hipotecaria del préstamo también sería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tercer lugar, la disminución del valor de la garantía y el empeoramiento de las condiciones en el mercado de cédulas hipotecarias se trasladará al mercado de concesión de créditos hipotecarios en un endurecimiento de las condiciones de contratación de dichos préstamos.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último lugar, se alega el impacto sobre la SAREB y la correcta culminación del proceso de restructuración y saneamiento del sistema financiero. Dada la amplitud con la que los deberes de comunicación de datos aparecen configurados en la Ley 4/2013, el elevado volumen de activos gestionados y el hecho de que la SAREB se encuentra todavía en proceso de recabar los datos relativos a los referidos activos, es más que probable que no pudieran satisfacerse todas las exigencias de este orden formuladas por la Administración autonómica. Como la SAREB es actualmente titular de 6.739 viviendas en Andalucía, podría enfrentarse a multas de hasta 57.411.000 €. Además, una parte importante de la cartera de SAREB está constituida por préstamos cuyo colateral está constituido asimismo por viviendas, sin que sea descartable que en un futuro próximo el derecho de crédito se transforme en su garantía como consecuencia de un procedimiento de ejecución. Y por lo que respecta a las obligaciones de comunicación de datos, si bien son costosas tanto para las entidades como para la SAREB, en el caso de esta última se está imponiendo la exigencia de declarar a la Administración autonómica los datos correspondientes al precio de transferencia, que no han sido hecho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alude al riesgo de generalizar las medidas impugnadas a todo el territorio nacional, riesgo cuya legitima ponderación ha aceptado el Tribunal Constitucional (ATC 87/2012, de 10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Letrada del Parlamento de Andalucía presentó sus alegaciones, que tuvieron entrada en el Registro General de este Tribunal el 14 de marzo de 2014, interesando el levantamiento de la suspensión que pesa sobre los preceptos impugnados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vez expuesta la doctrina constitucional sobre el levantamiento o el mantenimiento de la suspensión de la normativa autonómica (ATC 123/2013, de 21 de mayo, FJ 2), la Letrada del Parlamento analiza las circunstancias del caso. Afirma que la finalidad de la Ley 4/2013 es lograr la efectividad del principio rector de la política social y económica consagrado en el art. 47 CE, mediante el establecimiento de una serie de medidas para garantizar el derecho a disfrutar de una vivienda digna y adecuada de todas aquellas personas que, tras el estallido de la burbuja inmobiliaria y como consecuencia de la crisis, se han quedado sin vivienda, están a punto de quedarse sin ella, por no disponer de los medios económicos necesarios para hacer frente al pago de sus préstamos hipotecarios, o simplemente no pueden acceder a la misma por no poder hacer frente al pago del precio de compra o alquiler (apartados I y II de la exposición de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las medidas establecidas son muy variadas y van desde las que pretenden evitar los desahucios por impago de hipotecas de las personas que se encuentran en especial situación de emergencia social hasta las medidas de fomento, intermediación y policía, con las que se pretende incorporar al mercado inmobiliario a unos precios adecuados y razonables las miles de viviendas vacías y desocupadas que existen en Andalucía (más de setecientas mil, según la exposición de motivos). Los preceptos impugnados forman parte de un conjunto sistemático de medidas para garantizar el derecho a disfrutar de una vivienda digna.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son, además, especialmente graves pues la vivienda es instrumento para la satisfacción de otros derechos fundamentales (como los recogidos en el art. 25.1 de la Declaración Universal de los Derechos Humanos, en los arts. 39, 40 y 43 CE y en el art. 10.3.14 del Estatuto de Autonomía para Andalucía: EAAnd) y para el cumplimiento de los principios del Estado social consagrado en el art. 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el alzamiento de la suspensión se justifica por el interés general en el despliegue de la eficacia de las leyes revestidas de una presunción de constitucionalidad, por la necesidad de que se cumplan los mandatos contenidos en los arts. 1, 10.1 y 47 CE y 25 EAAnd, y por los daños y perjuicios de reparación imposible o difícil que la suspensión produce a las personas físicas beneficiarias de las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procede a un análisis individualizado de las medidas contempladas por la Ley impugnada. El mantenimiento de la suspensión de la eficacia de la disposición adicional primera afectará y perjudicará directamente al colectivo de personas incluidas en su ámbito de aplicación, que además de perder la propiedad de su vivienda habitual por no poder hacer frente al pago de sus hipotecas serán lanzadas de la vivienda y quedarán en riesgo de exclusión social. Es un daño real y efectivo que, cuando menos, afectará a las ciento cuarenta y cuatro familias cuyas solicitudes se están tramitando, así como a todas las que, aunque no han presentado solicitud todavía, reúnan los requisitos establecidos. Y dado que existe una directa relación entre la tasa de paro (muy alta en Andalucía) y los índices de morosidad, es muy probable que en los próximos meses y años aumente el número de personas que cumplan esos requisitos. Esos daños no se subsanan mediante la aplicación del art. 1 de la Ley 1/2013 del Estado, pues su ámbito de aplicación es más restringido, protege a menos familias y el tiempo de suspensión del lanzamiento es más limitado (dos años desde la entrada en vigor de la Ley) que la duración de la expropiación del uso de vivienda (tres años desde la fecha del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resto de los preceptos impugnados tienen como finalidad movilizar el parque de viviendas libres existentes en Andalucía, incorporándolas al mercado de venta o arrendamiento a unos precios ajustados a la realidad y asequibles a los ciudadanos. Por ello, el alzamiento de la suspensión de su eficacia se hace especialmente necesario en los momentos actuales. Según los datos de los registros municipales de vivienda protegida, en Andalucía hay más de cincuenta mil unidades familiares que demandan una vivienda en arrendamiento, mientras que las viviendas públicas están ocupadas en su casi totalidad. Si se mantiene la suspensión del art. 25 de la Ley 1/2010, se elimina la descripción del supuesto de hecho de cuya concurrencia depende la aplicación de la mayoría de los artículos incluidos en los títulos VI y VII de la Ley 1/2010, que ni siquiera han sido impugnados, y se bloquea la aplicación de las medidas de fomento y policía articuladas en la Ley para potenciar y asegurar el acceso a una vivienda digna. Lo mismo cabe decir en relación con el art. 1.3 de la Ley 1/2010, pues este precepto, al delimitar el contenido del derecho de propiedad de la vivienda de acuerdo con su función social, actúa como soporte de todas las medidas establecidas en la Ley 4/2013 para asegurar la efectividad del principio rector de la política social y económica establecida en el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la suspensión del art. 53.1 a) de la Ley 1/2010 produce perjuicios evidentes para la consecución del interés general. El precepto tipifica como infracción administrativa el “no dar efectiva habitación a las viviendas en los términos establecidos en el artículo 25” cuando su titular sea una persona jurídica. Si se mantiene la suspensión, se estará debilitando el régimen sancionador de la Ley y se estará eliminando una de las medidas fundamentales con las que ésta tratar de incentivar que las personas jurídicas (pues éstas suelen utilizar la vivienda como un bien de inversión) saquen al mercado de venta o arrendamiento las viviendas de su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 contrario, el alzamiento de la suspensión de la eficacia de los preceptos recurridos no produce los daños que se alegan por el Estado, ni tienen la gravedad y consistencia necesarias para prevalecer sobre la presunción de legitimidad de las disposiciones impugnadas y sobre los intereses públicos y particulares. Sus conclusiones se fundamentan en datos extraídos de los informes del Banco de España para los años 2008, 2009 y 2012; en una carta dirigida al Secretario de Estado del Ministerio de Economía y Competitividad por el Director General Adjunto de Asuntos Económicos y Financieros de la Comisión Europea y en un informe que se atribuye a la SAREB. Sin embargo, ninguno de estos documentos es suficiente para acreditar los graves efectos sobre la política económica general del Estado o la realidad de los daños que se imputan a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datos extraídos de los informes del Banco de España, se señala que el panorama económico y financiero que describen ha quedado superado. Así lo demuestran los datos que constan en el informe de estabilidad financiera del Banco de España de 2013. La prima de riesgo ha bajado y en el mes de enero de 2014 ha concluido el programa de asistencia financiera, acordado en julio de 2012, después de que las valoraciones de la Comisión Europea, el Banco Central Europeo y el Fondo Monetario Internacional hayan certificado el cumplimiento de las condiciones recogidas en el memorando de entendimiento.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carta dirigida al Secretario de Estado del Ministerio de Economía y Competitividad por el Director General Adjunto de Asuntos Económicos y Financieros de la Comisión Europea no debería ser tomada en consideración para mantener la suspensión de las normas impugnadas, ya que solo expresa la dudas y preocupaciones que despierta el contenido del Decreto-ley 6/2013 (cuyos preceptos reproduce la Ley ahora impugnada). Por ello resulta aplicable la reiterada doctrina del Tribunal constitucional según la cual las meras hipótesis no confirmadas no pueden prevalecer, en la ponderación propia de este incidente, sobre la presunción de inconstitucionalidad de que goza la norma impugnada (AATC 123/2013 y 154/2013, FFJJ 4 y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informe que se atribuye a la SAREB también carece del necesario valor probatorio de la realidad de los perjuicios invocados por el Estado, ya que carece de fecha, de firma, y no permite determinar la persona que lo realiza o lo encarga, ni el carácter oficial del mismo. En aplicación de la doctrina sentada en el ATC 238/2012, FJ 3, no debe ser tenido en cuenta. Además, la SAREB es una sociedad anónima en cuyo capital participan mayoritariamente entidades privadas y cuya misión consiste en gestionar y vender los activos recibidos, tratando de obtener el máximo valor por ellos para cumplir los compromisos contraídos con sus accionistas e inversores. Por ello, cualquier informe que la misma pueda emitir sobre los daños causados en su cartera por las disposiciones impugnadas será un informe de parte destinada a defender los intereses de accionistas e inversores privados. Incluso aunque se admitiera su valor probatorio, el informe se limita a realizar afirmaciones basadas en hechos futuros o en meras previsiones o presunciones, desprovistas del necesario apoyo en datos actuales y contrastados que permitan acreditar los daños que se invocan.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todo caso, los perjuicios alegados quedan desvirtuados por los informes aportados en el presente incidente por la Junta de Andalucía junto a su escrito de alegaciones, a los que se remite. La Letrada del Parlamento subraya que las normas impugnadas en ningún caso tienen el impacto negativo que denuncia el Estado, ni sobre la reestructuración del sector bancario, ni sobre la política económica general del Gobierno, ni desde luego sobre la actividad o sobre el valor de los activos de la SAREB. Las normas han estado vigentes durante varios meses del año 2013, primero como consecuencia de la aprobación del Decreto-ley 6/2013, de 9 de abril, y después como consecuencia de la aprobación de la Ley 4/2013, impugnada en el presente recurso de inconstitucionalidad. A pesar de ello, las medidas impugnadas no han producido los daños y perjuicios que alega el Estado. Ha sido precisamente en el segundo semestre de 2013 cuando la prima de riesgo ha bajado considerablemente, cuando ha aumentado la confianza en los mercados, cuando se ha culminado la reestructuración del sector bancario y cuando se ha dado cumplimiento al memorando de entendimiento de julio de 2012. La vigencia de las disposiciones impugnadas tampoco ha afectado a la actividad de la SAREB en Andalucía, ni ha disminuido el valor de sus activos inmobiliarios en esta Comunidad Autónoma. Basándose en los datos de la sociedad de tasación TINSA y del Instituto Nacional de Estadística, el informe aportado como documento núm. 2 por la Junta de Andalucía señala que durante 2013 los precios de la vivienda registrados en Andalucía se han comportado de acuerdo con la media nacional, y que Andalucía ha sido una de las tres Comunidades Autónomas en las que ha aumentado el volumen de operaciones de compraventa de vivienda.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art. 1 [en cuanto que da nueva redacción al art. 1.3 e introduce los arts. 25 y 53.1 a) en la Ley 1/2010, de 8 de marzo, reguladora del derecho a la vivienda en Andalucía)] y la disposición adicional primera de la Ley 4/2013, de 1 de octubre, de la Comunidad Autónoma de Andalucía de medidas para asegurar el cumplimiento de la función social de la vivienda, preceptos que se encuentran suspendidos en su aplicación como consecuencia de la invocación de los arts.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4/2013, de 1 de octubre, de la Comunidad Autónoma de Andalucía recoge los contenidos del Decreto-ley 6/2013, de 9 de abril, de medidas para asegurar el cumplimiento de la función social de la vivienda, con algunas modificaciones introducidas en el procedimiento legislativo que se inició tras su convalidación. El recurso del Presidente del Gobierno se dirige exclusivamente contra el art. 1, en cuanto que da nueva redacción al art. 1.3 e introduce los arts. 25 y 53.1 a) en la Ley 1/2010, de 8 de marzo, reguladora del derecho a la vivienda en Andalucía, así como contra la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redacción del art. 1.3 de la Ley 1/2010 establece como “parte del contenido esencial del derecho de propiedad de la vivienda” “el deber de destinar de forma efectiva el bien al uso habitacional previsto por el ordenamiento jurídico, así como mantener, conservar y rehabilitar la vivienda con los límites y condiciones que así establezca el planeamiento y la legislación urbanística”. El nuevo art. 25 incluye la definición de viviendas deshabitadas y el nuevo art. 53.1 a) tipifica como infracción muy grave el no dar efectiva habitación a la vivienda en los términos establecidos en el artículo 25, siempre que el titular de la misma sea una persona jurídica. Por último, la disposición adicional primera de la Ley 4/2013 declara de interés social a efectos de expropiación forzosa de la cobertura de necesidad de vivienda de personas en especiales circunstancias de emergencia social. Dicha declaración habilita para la expropiación forzosa del uso de la vivienda objeto del mismo por un plazo máximo de tres años, a contar desde la fecha del lanzamiento acordado por el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con apoyo en informes del Ministerio de Economía y Competitividad, del Banco de España y de la Sociedad de Gestión de Activos procedentes de la Sociedad de gestión de activos procedentes de la reestructuración bancaria (SAREB), sostiene que las medidas propuestas pueden presentar un impacto significativo sobre la situación financiera de las entidades, el crédito hipotecario, el mercado de cédulas hipotecarias y en la adecuada finalización del proceso de reforma financiera. En segundo lugar, rechaza el argumento del daño que se incurriría a las ciento cuarenta y cuatro familias que se han acogido a las medidas andaluzas, pues ello equivaldría a otorgar primacía al mantenimiento de los hechos consumados sobre cualquier argumentación de índole jurídica. Por último, alega que el levantamiento de la suspensión de la norma impugnada supondrá el incumplimiento de los compromisos internacionales asumidos por España, fundamentalmente del memorando de entendimiento firmado por España el 20 de julio de 2012, en el marco de la ayuda financiera otorgada a nuestro país por la Unión Europea, que está constituyendo la clave para la superación de la crisis del sistema financiero español y que exige comunicar a las instituciones europeas toda medida que se vaya a adoptar y que pueda tener un impacto en la estabilidad financiera. En virtud de todo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las Letradas de la Junta y del Parlamento de Andalucía consideran que el Estado no ha podido acreditar que sean reales las hipotéticas consecuencias que dice derivarse de la aplicación de la Ley en relación con el proceso de reestructuración del sector bancario y de la prima de riesgo, y que el recurso hace referencia a una situación económica que no se corresponde con la realidad actual, así como a situaciones de incertidumbre que han sido despejadas por los propios acontecimientos. Para la representación procesal del Parlamento de Andalucía, el alzamiento de la suspensión se justifica por el interés general en el despliegue de la eficacia de las leyes revestidas de una presunción de constitucionalidad, por la necesidad de que se cumplan los mandatos contenidos en los arts. 1, 10.1 y 47 CE y 25 del Estatuto de Autonomía para Andalucía, y por los daños y perjuicios de reparación imposible o difícil que la suspensión produce a las personas físicas beneficiarias de las medidas, a las que ya se estaban tramitando sus solicitudes y a quienes pudieran presentarlas en el futuro. También afirma que ninguno de los documentos en los que se basan las conclusiones del Abogado del Estado sobre la entidad de los daños producidos es suficiente para acreditar los graves efectos sobre la política económica general del Estado o la realidad de los daños que se imputan a las disposiciones impugnadas. Por ello, solicitan que este Tribunal acuerde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consideración preliminar es que este incidente cautelar tiene autonomía respecto al procedimiento principal en el que se debe dilucidar la validez o invalidez de las normas legales recurridas. Una vez producida la suspensión por invocación del art.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datos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la suspensión de la vigencia de las disposiciones impugnadas se debe desvincular plenamente de la decisión sobre la cuestión de fondo, que deberá ventilarse mediante sentencia (por todos, ATC 18/2007, de 18 de enero, FJ 5). En tercer lugar, los alegados perjuicios irreparables o de difícil reparación deben valorarse de forma individualizada en relación con cada uno de los preceptos cuya suspensión pretende mantenerse (AATC 87/1991, de 12 de marzo, FJ 2; 78/1997, de 22 de enero, FJ 2; y 75/2010, de 30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forma de sustanciar este tipo de incidentes de suspensión contamos también con doctrina reiterada. En el reciente ATC 298/2013, de 17 de diciembre, señalamos lo siguiente: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y 157/2013, de 11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observación se refiere a que una pieza separada de suspensión sobre medidas legislativas muy similares a las del presente incidente ha sido resuelta recientemente por este Tribunal. En efecto, en el ATC 69/2014, de 10 de marzo, relativo al recurso de inconstitucionalidad núm. 6036-2013, nos pronunciamos sobre el mantenimiento de la suspensión de la eficacia de otra normativa autonómica que incluía medidas muy similares a las contenidas en la Ley 4/2013 del Parlamento de Andalucía. En la resolución del presente incidente cautelar aplicaremos el mismo juicio de relevancia de los perjuicios para el interés general que efectuamos en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continuación este Tribunal debe examinar si los perjuicios que el Abogado del Estado asocia al levantamiento de la suspensión son reales y efectivos y tienen suficiente entidad para prevalecer sobre la presunción de constitucionalidad de que gozan las normas legales y sobre los menoscabos de intereses públicos y privados que pueden seguirse del mantenimiento de la suspensión, todo ello sin prejuzgar el fondo de la cuestión planteada que no es el objeto de esta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hay que analizar el alegado riesgo para el buen funcionamiento y estabilidad del sistema financiero. Aunque ya la doctrina constitucional ha puesto de relieve que se trata de un interés general y público (AATC 12/1987, de 13 de enero; 238/1987, de 26 de febrero; 29/1996, de 30 de enero, y 75/2010, de 30 de junio) distinto de los intereses particulares de las entidades que integran el sector financiero (ATC 123/2013), debemos recordar lo que dijimos en el ATC 69/2014, FJ 5: “en el actual contexto de crisis económica y social el Gobierno del Estado ha hecho de la estabilidad del sistema financiero español uno de los ejes centrales de la política económica general, como lo acredita, junto a varias normas de regulación de las entidades de crédito, el profundo proceso de reestructuración bancaria que ha diseñado y en el que participa activamente mediante la inversión directa de fondos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 invocado en el presente incidente perjuicios de imposible o difícil reparación idénticos a los alegados en el incidente que resolvió el Auto de 10 de marzo de 2014, y los ha fundamentado en los mismos informes o en informes de las mismas instituciones especializadas, a los que ha añadido un informe de la SAREB. Teniendo las medidas impugnadas el mismo contenido, siendo idénticos los perjuicios irreparables o de difícil reparación alegados por el Abogado del Estado y acreditándose tales perjuicios por los mismos o por similares informes realizados por las mismas o por similares instituciones especializadas, la conclusión a la que debemos llegar en el presente incidente ha de ser la misma que la que alcanzamos en el Auto de 10 de marzo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ATC 69/2014 alcanzamos la conclusión de que “dichas actividades, que según los informes reseñados pueden sufrir un importante impacto derivado de las medidas autonómicas cuya suspensión ahora consideramos, tienen una conexión estrecha con el cumplimiento por España de sus compromisos internacionales en materia de ayudas de Estado, lo que resulta relevante en esta sede a la luz de la doctrina afirmada en el ATC 108/2011, de 5 de julio, donde entendimos que la credibilidad de España en una situación económica de desconfianza como la presente constituía un interés público que justificaba el mantenimiento de la suspensión de una ley autonómica”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en el ATC 69/2014 concluimos que el levantamiento de la suspensión de los preceptos impugnados produciría perjuicios ciertos para los intereses públicos, por cuanto que “tales preceptos inciden en el sistema financiero en su conjunto, generando, en una situación como la presente de excepcional desconfianza en el sistema crediticio globalmente considerado, un menoscabo para el interés público que supone la estabilidad de dicho sistema y, en la medida que pueda poner en riesgo que la reestructuración bancaria apoyada con dinero público en virtud de un régimen especial de ayudas de Estado se desarrolle en los términos autorizados, da lugar a una afectación igualmente cierta para el cumplimiento por España de sus compromisos internacionales, intereses prevalentes en la cuestión examinada y claramente distintos de los perjuicios reparables que pudieran sufrir las entidades de crédito, singularmente consideradas”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presente incidente las representaciones procesales de la Junta y del Parlamento de Andalucía han rechazado ciertamente la validez o la suficiencia de los documentos utilizados por el Abogado del Estado para fundamentar los daños alegados. Sin embargo, en el ATC 69/2014 señalamos que, para analizar si las medidas autonómicas son aptas para poner en riesgo el interés público en que consiste la estabilidad del sistema financiero, “hemos de atender de un modo principal a los juicios de las instituciones especializadas en la materia e independientes de las partes, siempre claro está que no sean desvirtuados por otros datos o análisis aportados por quienes pretendan el levantamiento de la suspensión” (FJ 4). Entonces reconocimos valor probatorio a los informes alegados por el Abogado del Estado, en cuanto que “la Comisión Europea, así como el Banco Central Europeo y el Fondo Monetario Internacional que también han participado en su elaboración, son instituciones especializadas en la materia e independientes de las partes” (FJ 5). También reconocimos valor probatorio a los informes del Banco de España, “sin perjuicio de que podamos separarnos de él si apreciásemos que aparece contrarrestado por otros elementos probatorios”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consideración de los perjuicios apreciados en los referidos informes tampoco puede acogerse la objeción planteada por las representaciones procesales de la Junta y del Parlamento de Andalucía de que el programa de asistencia financiera, acordado por el Eurogrupo el 9 de julio de 2012 con una duración de dieciocho meses, ha llegado ya a su fin por el transcurso de su periodo temporal y el cumplimiento de las condiciones impuestas, pues “las medidas que materializan tal condicionalidad, lejos de estar consumadas, siguen vigentes y desplegando sus efectos, los cuales han de sujetarse a los compromisos asumidos por España dentro de la Unión Europa, en particular en lo relativo a las ayudas de Estado” (Auto de 10 de marzo de 2014,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respecta a los perjuicios asociados al mantenimiento de la suspensión, las representaciones procesales de la Junta y del Parlamento de Andalucía han alegado la existencia, en el corto periodo de vigencia de las disposiciones impugnadas, de ciento cuarenta y cuatro solicitudes admitidas a trámite que podrían acceder a la expropiación temporal del uso de la vivienda. También alegan que el colectivo social vulnerable que se puede ver beneficiado por esa medida es potencialmente superior, en especial dada la relación entre morosidad y tasa de paro, que es especialmente alta en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nuestro ATC 69/2014 señalamos que los perjuicios asociados al mantenimiento de la suspensión de medidas como las contempladas en la Ley 4/2013 “resultan notablemente reducidos porque el Estado también ha dispuesto normas que atienden a esos intereses”, que “con su existencia disminuyen el menoscabo que para los intereses invocados por las partes que pretenden el levantamiento trae consigo el mantenimiento de la suspensión” (FJ 9). Se trata de la Ley 1/2013, de 14 de mayo, de medidas para reforzar la protección a los deudores hipotecarios, reestructuración de deuda y alquiler social, en la que se contempla, entre otras medidas, la suspensión inmediata y por un plazo de dos años de los desahucios de las familias que se encuentren en una situación de especial riesgo de exclusión. Asimismo,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que extrajimos en el ATC 69/2014, FJ 10, en el cual afirmamos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1 de la Ley 4/2013, de 1 de octubre, de la Comunidad Autónoma de Andalucía de medidas para asegurar el cumplimiento de la función social de la vivienda, por el que se da nueva redacción al art. 1.3 de la Ley 1/2010, de 8 de marzo, reguladora del derecho a la vivienda en Andalucía y se introducen en ella los arts. 25 y 53.1 a), y de la disposición adicional primera de la mencionada Ley 4/2013.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el Magistrado don Luis Ignacio Ortega Álvarez, la Magistrada doña Encarnación Roca Trías y los Magistrados don Fernando Valdés Dal-Ré y don Juan Antonio Xiol Ríos, respecto del Auto dictado en el recurso de inconstitucional núm. 7357-2013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decisión mayoritaria emitimos nuestro Voto particular discrepante, anunciado en la deliberación.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nuestra discrepancia son, en lo sustancial, las mismas que las que expusimos en el Voto particular que formulamos en el ATC 69/2014, de 10 de marzo, por el que el Tribunal acordó mantener la suspensión de la eficacia de la Ley 24/2013, de 2 de julio, de medidas urgentes para garantizar el derecho a la vivienda en Navarra impugnada a través del recurso de inconstitucionalidad núm. 6036-2013. Nos ratificamos en el contenido de aquel voto, pues este incidente de suspensión se resuelve aplicando la doctrina establecida en el Auto citado.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Existe, ciertamente, algún matiz diferencial entre los dos casos. Así, en el presente caso, según aduce la Junta de Andalucía en sus alegaciones, el porcentaje de viviendas vacías que corresponde a la Sociedad de gestión de activos procedentes de la reestructuración bancaria en Andalucía es de un 1 por 100 del total, por lo que las medidas previstas en la Ley impugnada no pueden incidir de forma relevante en el proceso de reestructuración bancario español.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como estima el Auto impugnado, a nuestro juicio erróneamente, procede mantener la suspensión, hubiera resultado obligado considerar que no toda la regulación contenida en los preceptos impugnados de la Ley 4/2013 [su art. 1, en cuanto que da nueva redacción al art. 1.3 e introduce los arts. 25 y 53.1 a)] en la Ley 1/2010, de 8 de marzo, reguladora del derecho a la vivienda en Andalucía, y la disposición adicional primera) son susceptibles de poner en riesgo el funcionamiento del sistema financiero, pues tales preceptos contienen determinaciones cuya eficacia no pone en peligro su estabilidad ni su buen funcionamiento. La nueva redacción del art. 1.3 de la Ley 1/2010 se refiere al “contenido esencial del derecho de propiedad” e incluye en él el deber de destinar el bien al uso habitacional previsto en el ordenamiento jurídico. Y el nuevo art. 25 de la Ley 1/2010 contiene una definición de vivienda desocupada. Ni la definición del contenido esencial del derecho de propiedad ni la del concepto de vivienda desocupada son susceptibles, por sí solas, de ocasionar ningún perjuicio de imposible o difícil reparación, por lo que no debería haberse mantenido la suspensión respecto del mismo. Tales previsiones legales no son en sí mismas susceptibles de provocar una grave perturbación al sistema financiero, antes bien son la expresión de principios y fines generales a los que las Administraciones pueden y deben atender por diferentes caminos.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en suma, que debió levantarse la suspensión de la disposición impugnada y que, en todo caso, los perjuicios apreciados, de ser ciertos, no permitirían suspender la eficacia de los preceptos impugnados en su totalidad, sino solo la de aquellos que, por la regulación que contienen, sean capaces de producir tales efectos. De ahí que, a nuestro juicio, el Auto hubiera debido analizar cada una de las normas que se impugnan del art. 1 y la disposición adicional primera de la Ley 4/2013 recurridos para determinar qué prescripciones legales pueden provocar esos graves perjuicios de imposible o difícil reparación que justifican el mantenimiento de la suspensión de su vigencia.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ocho de abril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