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6167-2014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6167-2014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medida de internamiento no voluntario de la demandante de amparo, acordada por Auto de 25 de febrero de 2014 del Juzgado de Primera Instancia núm. 30 de Madrid y confirmada por Auto de 22 de julio de 2014 de la Audiencia Provincial de Madrid, sin perjuicio de las medidas que puedan adoptarse al respecto por la jurisdicción ordinaria.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14 de octubre de 2014, el Procurador de los Tribunales don José María Rico Maesso, en nombre y representación de doña Moreen Sondra Silver, interpuso recurso de amparo contra el Auto de 31 de julio de 2014 de la Audiencia Provincial de Madrid que acordó no haber lugar a la aclaración de su Auto de fecha 22 de julio de 2014 y contra este último, que desestimó el recurso de apelación interpuesto contra el Auto de fecha 25 de febrero de 2014, dictado por el Juzgado de Primera Instancia núm. 30 de Madrid, en el expediente de internamiento núm. 333-2014. En él se acordó la ratificación del ingreso no voluntario por razón de trastorno psíquico (demencia fronto-temporal) de la demandante de amparo, en la Residencia Margarita Retuerto de Madrid, para su tratamiento médico-asistencial por el tiempo que se estime necesario.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denuncia la vulneración del derecho fundamental a la libertad personal (art. 17.1 CE) y a la tutela judicial efectiva (art. 24.1 CE); este último en relación con el art. 5.4 del Convenio europeo de derechos humanos (CEDH). Se aduce, en síntesis, que el internamiento no voluntario se llevó a cabo sin respetar las garantías previstas en el art 763 de la Ley de enjuiciamiento civil (LEC); toda vez que, por un lado, se incumplió el plazo de 24 horas legalmente previsto para comunicar al órgano judicial el internamiento no voluntario y, por otro, el Juzgado de Primera Instancia incumplió el límite temporal de 72 horas que fija la ley, para resolver respecto de la ratificación de una medida que afecta al derecho a la libertad personal recogido en el art. 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el recurso de amparo se expone que el día 14 de febrero de 2014 la demandante fue trasladada por una unidad de SAMUR a la Residencia Margarita Retuerto de Madrid para ocupar una plaza de urgencia, al entender los servicios sociales que tal medida era necesaria; la afectada, de 72 años de edad, vive sola y “padece síntoma de Diógenes, presenta extrema delgadez y síntomas de un posible deterioro cognitivo”. No obstante lo anterior, hasta el día 18 de febrero el Juzgado no recibió escrito de solicitud de ratificación del internamiento involuntario por lo que, a juicio de la representación de la recurrente, se habría incumplido el plazo máximo de 24 horas que prevé el art. 763 LEC para tramitar la preceptiva ratificación de dicha medida, con la consiguiente vulneración del art. 17 CE. Por su parte, el Juzgado dictó Auto de ratificación, previa práctica de las pruebas requeridas y oído el informe del Ministerio Fiscal, el día 25 de febrero de 2014, por lo que también habría superado el plazo de 72 horas que a tal fin prevé el citado art. 763 LEC, como garantía del derecho a la libertad personal protegido en el art. 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alega la vulneración del derecho a la tutela judicial efectiva (art. 24 CE), en relación con el art. 5.4 CEDH, al entender la representación legal de la recurrente que esta tenía derecho a disponer de representación y defensa durante todo el procedimiento (art. 763.3 LEC), sin que fuese informada de tal derecho hasta el día 24 de mayo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en el suplico de la demanda se solicita que se declare la nulidad de las resoluciones judiciales impugnadas y que se proceda a dejar sin efecto de forma inmediata el internamiento involuntario de la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25 de mayo de 2015, acordó admitir a trámite el recurso de amparo, apreciando que concurre en el mismo una especial trascendencia constitucional (art. 50.1 LOTC) al dar ocasión al Tribunal para aclarar o cambiar su doctrina, como consecuencia del surgimiento de nuevas realidades sociales [STC 155/2009, de 25 de junio,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se acordó dirigir sendas comunicaciones a los órganos judiciales competentes, para la remisión de certificación o fotocopia adverada de las actuaciones y emplazamiento a quienes hubieran sido parte en el procedimiento, a excepción de la demandante de amparo; de modo que, si lo deseasen, pudiesen comparecer en el plazo de diez días en el presente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igual fecha, la Sala Primera acordó formar la oportuna pieza para la tramitación del incidente de suspensión y, de conformidad con lo dispuesto en el art. 56 LOTC, otorgar un plazo común de tres días a la demandante de amparo y al Ministerio Fiscal para formular las alegaciones que tuvieran por conveniente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recurrente evacuó el trámite de alegaciones conferido mediante escrito registrado en este Tribunal el 2 de junio de 2015, en el que se reitera la solicitud de suspensión y, en consecuencia, se requiere la salida de la demandante de la residencia en la que se encuentra ingresada en contra de su voluntad. Aduce que “médicamente ha sido examinada este fin de semana por el Doctor José María Poveda, especialista psiquiatra que está colaborando altruistamente en el seguimiento de este asunto”, quien manifiesta que la afectada se encuentra lúcida, coherente y con deseos de restablecer de forma inmediata su vida normal. En este sentido, se aporta un correo electrónico del citado especialista, cuyo contenido íntegro es el siguiente: “En relación con la ciudadana de Estados Unidos Maureen Silver y después de la visita realizada el viernes 29 de mayo, paso a comunicarle lo que sigue. Se ha mostrado lúcida coherente abordable y colaboradora, no muestra síntomas de impregnación medicamentosa. Presenta un consistente interés y disposición para recuperar su actividad y organizar su producción fotográfica, documentación, cámaras fotográficas e instrumentos musicales. Está indicada la supervisión médica especializada y psicoterapéutica a su alta, para lo que quedo atentamente a su disposición”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alega a favor de la suspensión que la interesada goza de un amplio círculo de amistades dispuestas a prestarle ayuda y que el único problema que ha tenido la recurrente es que “padece síndrome de déficit de atención perfectamente tratable como venía ocurriendo desde su infancia hasta que fue privada del medicamento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8 de junio de 2015, solicitando la denegación de la suspensión de la medida de internamiento no voluntario de la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del asunto y la doctrina constitucional respecto de la regla general de la ejecutoriedad de las resoluciones judiciales y sus excepciones, el Fiscal afirma que el presente caso presenta unas características singulares, sin que existan precedentes al respecto en la doctrina constitucional, lo que requiere una adecuada ponderación de las circunstancias del caso. En este sentido, entiende, en primer lugar, que se desconoce con certeza cuál es la situación actual de la demandante de amparo, esto es, si la medida de internamiento sigue vigente o si ha sido sustituida por otra, pues la última notificación que consta en el testimonio de actuaciones es el acuerdo, por Auto de 4 de julio de 2014 del Juzgado de Primera Instancia núm. 95 de Madrid, de nombramiento de un administrador provisional de los bienes de la demandante de amparo, en el procedimiento de incapacitación civil núm. 344-2014.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término, el Fiscal pone de relieve que el proceso de amparo constitucional no permite cuestionar las bases fácticas que sustentaron en su momento la adopción de la medida de privación de la libertad y recuerda que la decisión sobre la suspensión no permite examinar, ni siquiera con carácter provisional, el fondo de las lesiones constitucionales denunciadas en el recurso de amparo. Asimismo, constata que la medida de internamiento involuntario está sometida a revisión periódica por parte de los órganos judiciales, en los términos que prevé el art. 763.4 LEC; es pues la jurisdicción ordinaria quien se encontraría en la mejor posición para ponderar si el ingreso en un centro geriátrico debe mantenerse o si, por el contrario, es procedente la adopción de otras medidas sociales de apoyo a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Razones que le llevan a solicitar, como se ha indicado, la denegación de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reiterada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2/2001, de 15 de enero, FJ 1; 4/2006, de 16 de enero, FJ 1, y 127/2010, de 4 de octubre, FJ 1). En principio, pues, no procede la suspensión de las resoluciones judiciales por la perturbación de la función jurisdiccional que la misma supone, excepto si el recurrente acredita suficientemente la irreparabilidad que para sus derechos fundamentales pudiera tener la ejecución, privando al amparo de su finalidad; igualmente que la suspensión no produzca las perturbaciones graves a las que se refiere el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por perjuicio irreparable ha de entenderse aquel que provoque que el restablecimiento del recurrente en el derecho constitucional vulnerado sea tardío y convierta el amparo en meramente ilusorio y nominal (por todos, ATC 212/2009, de 9 de julio, FJ 1). Más concretamente hemos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Diferentes son los casos en los que, por afectar a bienes o derechos del recurrente en amparo de imposible o muy difícil restitución a su estado anterior, procede acordarla; esto sucede, en principio, en las condenas a penas privativas de libertad y a penas privativas o limitativas de ciertos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criterio, no obstante, no es absoluto. La doctrina que este Tribunal ha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así como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(AATC 273/1998, de 14 de diciembre, FJ 2; y 201/2007,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nos ocupa la privación de libertad de la demandante de amparo no trae causa en una condena penal, sino que se trata de un internamiento no voluntario por razón de trastorno psíquico, regulado en el art. 763 de la Ley de enjuiciamiento civil (LEC). Como indica el Ministerio Fiscal, estamos ante un asunto que presenta unas características singulares y que requiere una adecuada ponderación de las concretas circunstancias del caso, a la luz del procedimiento que, como garantía de la libertad personal, prevé el legislador en el citado art. 763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importante recordar, en primer lugar, que a este Tribunal no le corresponde cuestionar las bases fácticas que sustentaron en su momento la adopción de la medida privativa de libertad; consistentes en el informe emitido por los servicios sociales que da cuenta de las precarias condiciones de vida de la demandante de amparo, el informe emitido por el médico forense el 24 de febrero de 2014 en el que se constata que la demandante de amparo padece un trastorno cognitivo leve y aconseja su traslado a un centro residencial geriátrico y el informe médico forense de fecha 25 de junio de 2014 en el que se aconseja la permanencia de la demandante en el centro residencial geriátrico en el que ha sido internada. Por otra parte, se desconoce si la situación actual de la demandante de amparo aconseja o no su mantenimiento en un centro geriátrico; el único dato que aporta la representación procesal de la recurrente al respecto es un correo electrónico emitido por un médico psiquiatra que colabora altruistamente en el seguimiento del caso, reproducido íntegramente en los antecedentes de este Auto, del que se no se desprende de forma explícita y clara que la afectada deberá ser dada de alta.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debemos constatar, como también lo hace el Ministerio Fiscal, que la medida de internamiento involuntario está sometida a revisión periódica por parte de los órganos judiciales. El art. 763.4 LEC prevé que “los informes médicos serán emitidos cada seis meses, a no ser que el tribunal, atendida la naturaleza del trastorno que motivó el internamiento, señale un plazo inferior”. Así, la Ley regula la obligación de los facultativos que atienden a la persona internada de informar periódicamente al órgano judicial competente sobre la necesidad de mantener la medida, sin perjuicio de los demás informes que aquel pueda requerir cuando lo crea pertinente. A la vista de tales informes periódicos, el órgano judicial podrá acordar, previa práctica de las actuaciones que estime imprescindibles, lo procedente sobre la continuación o no del internamiento (art. 763.4 LEC). También los facultativos que atienden a la persona ingresada pueden acordar el alta del paciente si consideran que ya no es necesario mantener el ingreso, comunicándolo inmediatamente al Tribunal competente (art. 763.4 LEC); en todo caso, la representación procesal de la demandante de amparo puede dirigirse en cualquier momento al órgano judicial solicitando el cese del internamiento si considera que se han modificado las circunstancias que en su momento lo aconsejaron.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regulación legal establece garantías específicas en el ámbito de la jurisdicción ordinaria dirigidas a evitar una prolongación innecesaria de las situaciones de pérdida de libertad no voluntaria por razón de trastorno psíquico. En el presente caso, el Auto de 25 de febrero de 2014 del Juzgado de Primera Instancia núm. 30 de Madrid estableció que el centro geriátrico debía informar al Juzgado, cada seis meses, sobre la necesidad de proseguir o no el internamiento.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expuesto, teniendo en cuenta, en primer lugar, que es el Juzgado competente el que se encuentra en mejor posición para ponderar todos los elementos a tener en cuenta en beneficio de la persona afectada, pues conoce el expediente desde el inicio y, en segundo lugar, que el legislador ha previsto de forma detallada en el art. 763.4 LEC las garantías que han de rodear el seguimiento, por parte de los órganos judiciales, de la continuación o no del internamiento no voluntario por razón de trastorno psíquico, procede denegar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medida de internamiento no voluntario de la demandante de amparo, acordada por Auto de 25 de febrero de 2014 del Juzgado de Primera Instancia núm. 30 de Madrid y confirmada por Auto de 22 de julio de 2014 de la Audiencia Provincial de Madrid, sin perjuicio de las medidas que puedan adoptarse al respecto por la jurisdicción ordinaria.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