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1853-2016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1853-2016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abril de 2016, la Sala de lo Contencioso-Administrativo del Tribunal Superior de Justicia de Andalucía, con sede en Granada, remitió testimonio del Auto de 21 de marzo de 2016 por el que se acordó plantear cuestión de inconstitucionalidad en relación con los arts. 4.2 de la Ley 16/1997, de 25 de abril, de regulación de servicios de las oficinas de farmacia, y 47, apartados 1, 2, 3, 4 y 7 de la Ley 22/2007, de 18 de diciembre, de oficinas de farmacia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diligencia de ordenación de la Secretaría de Justicia del Pleno de 6 de abril de 2016 se acordó acusar recibo de las actuaciones remitidas solicitando la remisión del testimonio de la providencia de audiencia a las partes y al Ministerio Fiscal y de sus escritos de alegaciones. Dicho testimonio se remitió por escrito que tuvo entrada en el Registro General de este Tribunal el 12 de abril. Por nueva diligencia de ordenación de la Secretaría de Justicia del Pleno de 20 de mayo de 2016 se acordó dirigir atenta comunicación a la Sala de lo Contencioso-Administrativo del Tribunal Superior de Justicia de Andalucía, con sede en Granada, a fin de que indicase a este Tribunal si, con posterioridad al mencionado Auto, se había llevado a cabo alguna otra actuación judicial. A dicha comunicación respondió el órgano judicial mediante escrito registrado el 2 de junio de 2016 indicando que no se había dictado ninguna resolución posterior al Auto de 21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P.G.L.M., farmacéutica solicitó la apertura de una nueva oficina de farmacia en el municipio de Armilla (Granada). La Administración autonómica, mediante resolución de 10 de mayo de 2005 de la Delegación Provincial de Salud de Granada, denegó la apertura solicitada por incumplir la solicitud el requisito de aumento de población que exigía el Real Decreto 909/1978 para autorizar la apertura de una nueva oficina de farmacia. Esta resolución fue confirmada en alzada por resolución de la Directora General de Salud Pública y Participación de la Junta de Andalucía. La recurrente interpuso recurso contencioso-administrativo contra esta última.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de lo Contencioso-Administrativo núm. 3 de Granada, por Sentencia de 10 de octubre de 2007, desestimó el recurso. Contra esta Sentencia la recurrente interpuso recurso de apelación. La Sección Primera de la Sala de lo Contencioso-Administrativo del Tribunal Superior de Justicia de Andalucía, sede de Granada, mediante Sentencia de 17 de junio de 2013, acordó estimar el recurso, revocar la Sentencia de instancia y declarar el derecho de la recurrente a obtener la autorización de apertura interesada. La actora solicitó la aclaración y/o subsanación y complemento de la citada Sentencia notando la disconformidad entre el fallo y el suplico de la demanda, en la que solicitaba la adjudicación de la autorización en favor del solicitante que mejor puntuación obtuviera en aplicación del correspondiente baremo de méritos, y no, por tanto, directamente en favor de la propia recurrente. La Sala, por Auto de 4 de julio de 2013, declaró no haber lugar a la aclaración solicitada. La recurrente interpuso incidente de nulidad de actuaciones, inadmitido por la Sala mediante Auto de 22 de octubre de 2013. Contra las mencionadas resoluciones judiciales la demandante interpuso recurso de amparo, tramitado con el núm. 6824-2013. La providencia de la Sección Segunda de 6 de octubre de 2014 acuerda “no admitirlo a trámite, con arreglo a lo previsto en el art. 50.1 a) LOTC, dada la manifiesta inexistencia de violación de un derecho fundamental tutelable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Instada entretanto la ejecución de la Sentencia del Tribunal Superior de Justicia de Andalucía, la representación procesal de la Junta de Andalucía planteó el 9 de octubre de 2013 un incidente de imposibilidad de ejecución de Sentencia por la concurrencia de una causa legal que imposibilitaba cumplirla en sus propios términos. Dicha imposibilidad se basaba en que doña P.G.L.M. era, desde el año 2009, titular de una oficina de farmacia en la misma localidad, lo que, por aplicación de los arts. 23.1, 34.2, 47.2 y 70.3 a) de la Ley 22/2007, de 18 de diciembre, de oficinas de farmacia de Andalucía, determinaba que no pudiera ser adjudicataria de otra en cuanto que se impide que se pueda ser titular de dos oficinas de farmacia en la misma localidad. En la tramitación de dicho incidente se personaron, además de la demandante inicial, los codemandados en el proceso a quo y un tercero interesado que había participado en el procedimiento administrativo. El Juzgado de lo Contencioso-Administrativo núm. 3 de Granada por Auto de 26 de diciembre de 2013 apreció la imposibilidad legal de ejecutar la Sentencia, argumentando que la Ley 22/2007 obliga a la presencia del farmacéutico titular sin que tampoco fuera posible la transmisión de la oficina de farmacia hasta transcurridos cinco años desde su adjudicación.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referido Auto de 26 de diciembre de 2013 fue recurrido en apelación por la actora, tramitándose ante el Juzgado de lo Contencioso-Administrativo núm. 3 de Granada que lo elevó a la Sala de lo Contencioso-Administrativo del Tribunal Superior de Justicia para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providencia de 24 de noviembre de 2015, el órgano judicial concede audiencia a las partes y al Ministerio Fiscal. La providencia señala que “resulta procedente dar audiencia a las partes y al Ministerio Fiscal porque el fallo de la Sentencia que se dicte puede depender de la validez (constitucional) de los artículos citados (art. 47 de la Ley 22/2007 y 4 de la Ley 16/1997, que son normas con rango de Ley y el proceso está concluso para Sentencia”. Y añade que “las partes y el Ministerio Fiscal pueden formular alegaciones sobre la compatibilidad de estos dos preceptos con cualquier norma o precepto de la Constitución; una vez se reciban las alegaciones, o transcurra el plazo común e improrrogable de diez días, se dictará Auto resolviendo lo procedente, Auto contra el que no cabrá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Ministerio Fiscal interpuso recurso de reposición contra la mencionada providencia a fin de que se completase con la mención del precepto constitucional que se entendía infringido, antes de dar nuevo traslado para la formulación de alegaciones. El Letrado de la Junta de Andalucía interesó que no se plantease la cuestión, señalando también que “no podemos atisbar cuáles serían los puntos concretos de estos preceptos que pudieran vulnerar los de la Constitución para entender procedente el planteamiento de la cuestión”. La representación procesal de los codemandados consideró improcedente el planteamiento de la cuestión señalando como preceptos constitucionales que no se vulneraban los arts. 14, 19, 24, 38 y 118 CE. La actora solicitó la estimación del recurso de apelación o, subsidiariamente, el planteamiento de la cuestión de inconstitucionalidad por vulneración de los arts. 9.3, 14, 139.1, 149.1.1 y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2 de febrero de 2016 la Sala estimó el recurso de reposición del Ministerio Fiscal, señalando que “los artículos 47 de la Ley autonómica 22/2007 y 4 de la Ley 16/1997 se entiende que podrían ser contrarios a los artículos 1, 9, 10, 14, 23, 33, 35, 36, 38, 103, 139 y 149 de la Constitución, sin perjuicio de que el Ministerio Fiscal pueda considerar que otros artículos puedan verse afectados y sin perjuicio, igualmente, de que en el Auto que en su caso se dicte planteando la cuestión de inconstitucionalidad no se tenga que hacer referencia a todos ellos en la medida en que no se considere que alguno de estos artículos se vea finalmente afectado”. De conformidad con lo anterior la Sala modificó la providencia en el único sentido de añadir que “los artículos de la Constitución que se considera que pueden verse afectados son los artículos 1, 9, 10, 14, 23, 33, 35, 36, 38, 103, 139 y 149”.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órgano judicial dictó Auto de 21 de marzo de 2016 planteando cuestión de inconstitucionalidad en relación con los arts. 4.2 de la Ley 16/1997, de 25 de abril, de regulación de servicios de las oficinas de farmacia, y 47, apartados 1, 2, 3, 4 y 7 de la Ley 22/2007, de 18 de diciembre, de oficinas de farmacia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sucintamente los antecedentes de hecho, inicia sus razonamientos jurídicos aludiendo al cumplimiento de los requisitos para el planteamiento de la cuestión de inconstitucionalidad, con especial énfasis en la doctrina relativa al juicio de relevancia. Sobre el juicio de relevancia en el caso concreto señala que el Auto apelado considera que no es posible ejecutar la Sentencia de la Sala, ya que así lo impide el art. 47 de la Ley 22/2007, de 18 de diciembre, de oficinas de farmacia de Andalucía, precepto que entiende íntimamente relacionado con el art. 4 de la Ley estatal 16/1997. Por su parte el recurso de apelación también invoca el artículo 47 citado y todas las partes personadas hacen referencia al mismo. Así señala que “en el caso concreto el juicio de relevancia se considera cumplido porque está acreditado sobradamente que el artículo 47 de la Ley autonómica es aplicable al caso”, para posteriormente afirmar que “el juicio de relevancia es positivo, porque la norma con rango de ley aplicable al caso y de cuya validez constitucional depende el fallo no solo es directamente aplicable al caso, sino que, además, ha sido aplicada, ya que estamos ante un recurso de apelación, en el que, por su propia naturaleza ha habido una previa decisión judicial (el Auto apelado) donde ya se ha aplicado la norma que este Tribunal considera contraria a la Constitución por las razones que a continuación se exponen. Y de la validez constitucional de esa norma depende la resolución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objeto del proceso en la instancia señala que doña P.G.L.M. es titular de una oficina de farmacia en la misma localidad, autorizada por resolución administrativa de 29 de diciembre de 2009, y que el 17 de junio de 2013 se dictó Sentencia en la que se acordaba reconocerle “el derecho a obtener autorización de apertura de oficia de farmacia para el municipio de Armilla”, Sentencia cuya ejecución fue solicitada por la actora y a la que se opuso la Junta de Andalucía por la imposibilidad de que una misma persona pudiera tener dos oficinas abiertas en la misma localidad. Al hilo de estas consideraciones señala el Auto que lo que pretende la parte apelante es que, pese a tener una oficina de farmacia abierta, se le adjudique otra con el objeto de transmitir una de ellas a un tercero. Para el órgano judicial “es esa posibilidad de trasmisión libre (‘por cualquiera de las formas admitidas en Derecho’, como dice el art. 47.2 de la Ley 22/2007) de la titularidad de una oficina de farmacia lo que se considera que contraviene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Reproduce a continuación el contenido de los arts. 4 de la Ley 16/1997 y 47 de la Ley 22/2007, señalando que los apartados que se reputan inconstitucionales son el apartado 2 del art. 4 de la Ley estatal y los apartados 1, 2, 3, 4 y 7 del art. 47 de la Ley autonómica por considerarlos contrarios a los arts. 23.2, 33.2 y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órgano judicial, el actual sistema en el que se permite la transmisión de las oficinas de farmacia “por cualquiera de las formas admitidas en derecho”, lo que incluye la venta onerosa y la herencia de farmacias es contraria al acceso a la función pública ya que no se respeta la igualdad ni el mérito y la capacidad, en la medida en que impide que muchos titulados puedan acceder a una farmacia en propiedad. Igualmente estima que “el actual sistema de transmisión y adquisición de farmacias” es contrario a la función social de la propiedad (art. 33.2 CE) porque “permite que se trafique o comercie privadamente con una licencia o autorización de oficina de farmacia que se concede por la Administración patrimonializando privadamente un oficio o profesión que tiene un origen público en la correspondiente licencia”.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fundamentos posteriores del Auto reiteran estas ideas a las que añade que “se podría pensar que la autorización o licencia para oficina de farmacia no es pública o que la función de un titular de oficina de farmacia no es pública”, pero el Auto considera que, pese a la definición legal de las farmacias como establecimientos sanitarios privados de interés público, en realidad su carácter privado se refiere a la gestión interna de la farmacia pero no al ejercicio de la actividad, ya que ésta exige una autorización o licencia administrativa. Para la Sala esa necesidad de obtener autorización administrativa determina que los farmacéuticos ejerzan funciones públicas, ya que el presupuesto de su actividad es esa licencia o autorización. Esa intervención administrativa es, según el órgano judicial, lo que hace que las licencias o autorizaciones tengan precios tan elevados. Por tanto, el Auto reitera que, dado que la autorización es pública, debe garantizarse “el acceso a esa licencia en condiciones de igualdad, mediante la acreditación del mérito y la capacidad, y sin que se pueda patrimonializar esa licencia por particulares que al así obrar obtienen, de forma injusta y discriminatoria, un beneficio particular de algo puramente público, que contraría la función social del derecho de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concluye haciendo referencia a la STC 181/2014, de 6 de noviembre, que se pronunció sobre el art. 47.1 y 3 de la Ley 22/2007, pero desde la perspectiva de la libertad de empresa y de la delimitación de competencias, sin que se alegase ni se resolviese sobre las cuestiones que ahora se plantean. Menciona igualmente dos sentencias del Tribunal de Justicia de la Unión Europea, señalando que tampoco tienen que ver con la duda que plantea. Finaliza su argumentación señalando que la razón por la que eleva la cuestión al Tribunal Constitucional es que considera que no es admisible jurídicamente “el sistema actual, en el que hay un sistema público de farmacias que es discriminatorio porque impide que se pueda acceder en condiciones de igualdad y de mérito y capacidad a la titularidad de una oficina de farmacia por parte de todos los licenciados en farmacia y se permite la patrimonialización de una licencia o autorización administrativa en contra de la función social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junio de 2016 la Sección Primera acordó, a los efectos que determina el art. 37.1 de la Ley Orgánica del Tribunal Constitucional (LOTC), oír al Fiscal General del Estado para que, en el plazo de diez días, alegue lo que considere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20 de julio de 2016 interesando la inadmisión de la cuestión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los antecedentes del caso así como la doctrina constitucional acerca del trámite de audiencia a las partes y en relación con los juicios de aplicabilidad y relevancia. A la vista de dicha doctrina examina la forma en que por la Sala que plantea la cuestión se da cumplimento al trámite prevenido en el art. 35.2 LOTC. Así, en primer lugar, considera que resulta incorrecta la falta de expresión de los preceptos de la Constitución Española vulnerados en la providencia inicial de 24 de noviembre de 2015, sin que la posterior identificación de los mismos llevada a cabo en el Auto de 2 de febrero de 2016, estimando el recurso de reposición del Ministerio Fiscal, haya sido suficiente para cumplir la finalidad de este trámite y permitir las alegaciones de las partes sobre la cuestión que se pretendía plantear, al no darse a las partes nuevo trámite de audiencia una vez subsanada la deficiencia procesal. Igualmente cuestiona la correcta realización del juicio de relevancia pues lo que se considera contrario a la Constitución Española es lo que el órgano judicial califica como posibilidad de transmisión libre de las oficinas de farmacia, cuando lo que se viene impugnando son determinados aspectos de la trasmisión limitada que regulan los preceptos cuestionados de la Ley 22/2007. La Fiscal General del Estado resalta que a través del Auto de planteamiento “parece más bien cuestionarse la opción del legislador sobre la transmisibilidad —que se considera ‘libre’—de la farmacia por cualquiera de las formas admitidas en derecho y el sistema de adjudicación sin respeto a los principios de mérito y capacidad. Y ello podría significar un enjuiciamiento genérico de la constitucionalidad de la norma, pero desvinculado de su relevancia para la decisión a adoptar, siendo así que este procedimiento tiene por objeto un control concreto de constitucionalidad en relación con un supuesto específico objeto de la controversia planteada ante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carácter notoriamente infundado de la cuestión suscitada, el Ministerio público recoge la doctrina de las SSTC 109/2003, de 5 de junio, y 181/2014, de 6 de noviembre, en relación a la naturaleza del modelo de organización de la oficina de farmacia, la libertad de opción del legislador entre los diferentes modelos o alternativas posibles, los criterios de transmisibilidad de las farmacias o la relación de dicho régimen con el art. 33.2 CE. Aplicando la anterior doctrina al presente caso concluye que, respecto a la norma estatal cuestionada, no se observa ninguna vulneración de los preceptos constitucionales, en cuanto que se trata de un precepto abierto, que admitiría muchas posibilidades de desarrollo y cuya concreción se difiere a las Comunidades Autónomas y, en particular ahora, en el precepto impugnado de la Ley 22/2007, de farmacia de Andalucía que constituye el concreto objeto de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última norma, indica que, en cuanto a la denunciada vulneración del art. 23.2 CE, la peculiar naturaleza de la prestación del servicio de farmacia, comporta una visión compleja y plural en los principios constitucionales que afectan a su regulación. Recuerda a este respecto que la doctrina constitucional ya ha destacado que la transmisibilidad de las oficinas de farmacia es una concreción de la libertad de empresa, resaltando que el legislador puede optar entre las diversas posibilidades existentes, de modo que la opción material relativa a la transmisibilidad de dichas autorizaciones es la que determina el modo de satisfacción del interés público sanitario presente en la dispensación de medicamentos. Cita el art. 3.2 de la Ley 16/1997, de 25 de abril, según el que la autorización de las nuevas oficinas de farmacia se tramitará conforme a los principios de publicidad y transparencia, previo el procedimiento que establezcan las Comunidades Autónomas. En dicho marco la propia Ley andaluza 22/2007, establece como principios generales la adjudicación de las nuevas oficinas de farmacia por concurso público, adjudicación que se ajustará a los principios de publicidad, transparencia, concurrencia pública y mérito. Para la Fiscal General del Estado, “la autorización de la farmacia y la selección del farmacéutico, a través del sistema de concurso, con la utilización de un sistema de baremación que pondera las condiciones personales y profesionales de quien va a obtener la titularidad de una oficina de farmacia, supone, la aplicación de los principios de mérito y capacidad, si bien, estando aquellos criterios incorporados en el principio de transparencia, respetándose pues los condicionantes de los arts. 23.2 y 103.3 CE en la regulación del legislador para la prestación del servido farmacéutico”. Destaca además que esa transmisión no es libre sino sujeta a determinados condicionantes, tanto si se trata de transmisiones inter vivos como mortis causa. Tras el examen de ambos regímenes, las alegaciones de la Fiscal General del Estado concluyen que la Ley trata de armonizar los aspectos de intervención pública en la regulación del servicio, con los aspectos privados, derivados de la libertad de empresa, y cuyo respeto, ponderando todos los intereses concurrentes a tenor de la doctrina constitucional expuesta, no implica la desigualdad discriminatoria por razones económicas pretendida en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lo anterior le lleva a solicitar la inadmisión de la presente cuestión de inconstitucionalidad por incumplimiento de los requisitos procesales dada la deficiente formulación del trámite de audiencia a las partes y al Ministerio Fiscal, así como por considerarla notoriamente infundada “en la medida en que los preceptos impugnados se ajustan a los artículos 23.2 y 103.3 CE en cuanto aplican los principios de mérito y capacidad para el desempeño del servicio farmacéutico de dispensación de medicamentos a través de la oficina de farmacia, y sujeta la transmisión de la autorización a determinadas limitaciones, unido a la caducidad de la autorización en caso de fallecimiento, con independencia, en todo caso, de los elementos materiales de la misma, ajustándose a la función social de la propiedad del art. 33.2 CE, de acuerdo con la naturaleza diversa de los bienes que son objeto de transmisión”.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con sede en Granada, del Tribunal Superior de Justicia de Andalucía promueve cuestión de inconstitucionalidad en relación con los arts. 4.2 de la Ley 16/1997, de 25 de abril, de regulación de servicios de las oficinas de farmacia y 47, apartados 1, 2, 3, 4 y 7 de la Ley 22/2007, de 18 de diciembre, de oficinas de farmacia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(en cursiva) disponen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4. Transmisión [Ley 16/1997, 25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transmisión de las oficinas de farmacia únicamente podrá realizarse en favor de otro u otros farmacéuticos.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Comunidades Autónomas regularán las formas, condiciones, plazos y demás requisitos de las transmisiones de estos establecimientos.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casos de clausura o cierre obligatorio de las oficinas de farmacia, por sanción de inhabilitación profesional o penal, temporal o definitiva, de cualquier índole, las Comunidades Autónomas podrán prever la prohibición de la transmisión de las citadas oficinas de farmacia, así como la intervención de los medicamentos.”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47. Transmisión de la oficina de farmacia [Ley andaluza 22/2007]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transmisión de la oficina de farmacia por cualquiera de las formas admitidas en Derecho estará sujeta a autorización administrativa que se realizará en las condiciones y con los requisitos de procedimiento que reglamentariamente se determinen.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transmisión de la totalidad o una parte indivisa de la oficina de farmacia sólo podrá llevarse a cabo a favor de otro u otros farmacéuticos siempre que el establecimiento haya permanecido abierto al público durante un mínimo de cinco años, con la misma persona titular o cotitulares.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plazo previsto en el párrafo anterior no será de aplicación en los supuestos de fallecimiento, incapacidad laboral permanente, total o absoluta, incapacitación judicial o declaración judicial de ausencia de la misma, sin perjuicio de lo dispuesto en el artículo 40.1 b)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las transmisiones onerosas, el transmitente comunicará a la Administración sanitaria las condiciones generales de la transmisión. Efectuada tal comunicación, la Administración le dará a conocer los nombres de los farmacéuticos inscritos en el registro de posibles adquirentes que tengan la mayor puntuación, según el baremo de méritos que se establezca, de acuerdo con los principios de publicidad, transparencia, y con los criterios de los apartados 1 y 2 del artículo 41 de la presente Ley, si bien la valoración de la experiencia profesional se tendrá especialmente en cuenta cuando se hubiera desempeñado en municipios, ELA o EATIM, o núcleos poblacionales aislados, todos ellos de menos de mil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transmisión, que se realizará a favor de aquel farmacéutico que teniendo la mayor puntuación acepte las condiciones y garantías exigidas por el transmitente, deberá efectuarse en el plazo máximo de cuatro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excepciona de lo previsto en los párrafos anteriores de este apartado la primera transmisión onerosa de aquellas oficinas de farmacia que cuenten con autorización administrativa de funcionamiento a la entrada en vigor de la presente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Igualmente, queda excepcionada de lo dispuesto en el apartado anterior la transmisión onerosa de una parte indivisa de la oficina de farmacia, si bien el farmacéutico transmitente no podrá transmitir su parte proindivisa de la oficina de farmacia durante los cinco años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Efectuada la transmisión de la oficina de farmacia, la persona a cuyo favor se haya realizado la misma solicitará la oportuna autorización por cambio de titularidad a la Delegación Provincial correspondiente de la Consejería competente en materia de salud, en el plazo máximo de dos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incumplimiento de los plazos previstos en los apartados 3 y 5 de este artículo, por causa imputable al adquirente, supondrá la baja de este por un plazo de cinco años en el registro de posibles adquirentes.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Cuando el adquirente de una oficina de farmacia fuera titular de otra y no la hubiera transmitido al momento de obtener la autorización de cambio de titularidad de la nueva, esta autorización quedará condicionada a que en el plazo máximo de seis meses realice la transmisión de la oficina de farmacia de la que era titular.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Transcurrido este plazo sin haberse efectuado dicha transmisión, la autorización de cambio de titularidad conllevará la caducidad de la autorización de instalación y funcionamiento de la que tuviera abierta.”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la regulación del art. 47 de la Ley 22/2007 de Andalucía —y la cobertura que le otorga la remisión del art. 4.2 de la Ley estatal 16/1997— en la regulación de la trasmisión de las oficinas de farmacia y su autorización, es contraria a la Constitución en cuanto permitiría una transmisión libre de las mismas sin sujeción a los criterios de mérito y capacidad para el desempeño de una función pública —determinada por la licencia administrativa para la oficina de farmacia— contraviniendo el art. 23.2 CE, así como porque dicha trasmisión implicaría la disposición de un bien de carácter público, con vulneración de la función social de la propiedad del art. 33.2 CE, comportando una discriminación para los farmacéuticos licenciados que no pudieran acceder a aquellas por razones económicas.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expuestas en los antecedentes, ha interesado la inadmisión de la cuestión por incumplimiento de los requisitos procesales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Ambas circunstancias concurren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los requisitos procesales necesarios para el adecuado planteamiento de una cuestión de inconstitucionalidad hay que señalar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trámite de audiencia a las partes y al Ministerio Fiscal no se ha formalizado adecuadamente. La admisibilidad de una cuestión de inconstitucionalidad, requiere, entre otras “condiciones procesales” (art. 37.1 LOTC), el correcto cumplimiento del denominado trámite de audiencia, esto es, la preceptiva audiencia a las partes y al Ministerio Fiscal antes de elaborar el Auto de planteamiento de la cuestión de inconstitucionalidad por el órgano judicial promotor de la misma. Así lo exige expresamente el art. 35.2 LOTC, que dice que “antes de adoptar mediante auto su decisión definitiva, el órgano judicial oirá a las partes y al Ministerio Fiscal para que en el plazo común e improrrogable de diez días puedan alegar lo que deseen sobre la pertinencia de plantear la cuestión de inconstitucionalidad, o sobre el fondo de ésta; seguidamente y sin más trámite, el juez resolverá en el plazo de tres días”. Es por tanto “… un requisito de todo punto inexcusable, cuya eventual omisión constituye un defecto en el modo de proposición de la cuestión que ha de determinar, tras el trámite previsto en el art. 37.1 LOTC, la inadmisión de la cuestión así suscitada” (entre otros muchos, AATC 220/2012, de 27 de noviembre, FJ 4; y 389/2008,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(por todas, STC 95/2015, de 14 de mayo, FJ 2) subraya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En este sentido, este Tribunal ha destacado también que el mismo no puede minimizarse, reduciéndolo a un simple trámite, carente de más transcendencia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(por todas, STC 222/2012, de 27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doctrina ha admitido excepciones, esto es, que las variaciones en la identificación del objeto de la cuestión de inconstitucionalidad no deben conducir inexorablemente a la inadmisión de la misma por falta de los requisitos procesales. Esto ocurrirá cuando el defecto en que incurre la providencia de apertura del trámite de audiencia no alcanza a producir confusión en los destinatarios, de modo que éstos pueden superar ese defecto y entender correctamente cuál era la duda que se les plantea, pues en estos casos no se habrá impedido a las partes el efectivo ejercicio de su derecho de audiencia en el trámite previsto por el art. 35.2 LOTC (ATC 136/2015, de 21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es patente que eso no es lo que sucede aquí. La providencia de 24 de noviembre de 2015 no intenta en forma alguna identificar los preceptos constitucionales que el órgano judicial entiende vulnerados pues, de hecho, remite tal tarea al juicio de las partes y del Ministerio Fiscal al señalar que “pueden formular alegaciones sobre la compatibilidad de estos dos preceptos con cualquier norma o precepto de la Constitución”. Resulta así que en la citada providencia hay una “indeterminación absoluta” de las normas de la Constitución que se consideran vulneradas, de manera que resulta imposible para las partes conocer el planteamiento de la cuestión de inconstitucionalidad en sus exactos términos (ATC 116/2014, de 8 de abril, FJ 2). Eso supone, en aplicación de la regla general, la inadmisión de la cuestión de inconstitucionalidad por falta de requisitos procesales, pues, como se pone de manifiesto en las alegaciones formuladas por las partes comparecidas, éstas no han podido situar la cuestión en sus estrictos términos constitucionales y pronunciarse sobre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deficiencia no queda subsanada por el hecho de que el órgano judicial estimase, mediante Auto de 2 de febrero de 2016, el recurso de reposición interpuesto por el Ministerio Fiscal. En el citado Auto se identifican los arts. 1, 9, 10, 14, 23, 33, 35, 36, 38, 103, 139 y 149 CE como preceptos constitucionales vulnerados, genérica enumeración respecto a la que, precisamente por ese carácter, cabe también poner en duda que cumpla la doctrina constitucional que antes se ha expuesto. En todo caso lo relevante es que la estimación del recurso del Ministerio Fiscal no determinó la apertura de un nuevo plazo de alegaciones en el que se hubieran podido subsanar las deficiencias padecidas en el mencionado trámite causadas por la providencia inicial.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traslación de la doctrina constitucional expuesta al presente procedimiento, en que, como se ha dicho, el órgano judicial no ha dado correctamente audiencia a las partes, lleva a concluir que, tal y como ha señalado la Fiscal General del Estado, no se han cumplido las exigencias establecidas por el art. 35.2 LOTC respecto al trámite de audiencia, en los términos exigidos por la jurisprudencia constitucional. Por tanto, debemos concluir que no se han satisfecho las condiciones procesales exigidas por el art. 37.1 LOTC para que proceda la admisión a trámite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juicios de aplicabilidad y relevancia también son defectuosos por insuficientes.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Es constante la doctrina constitucional que señala que corresponde al órgano judicial proponente determinar con claridad que la disposición cuestionada es aplicable a los hechos enjuiciados en el proceso en cuyo seno se suscita, de modo que el control que corresponde efectuar a este Tribunal es meramente externo, sin que pueda sustituirlo en la selección e interpretación de la norma aplicable. Este Tribunal “no puede ponderar o revisar tal apreciación del propio órgano judicial sobre las normas que en cada caso estime aplicables, a salvo el supuesto de que el criterio que así se exponga resulte con toda evidencia errado” (STC 87/2014, de 29 de mayo, FJ 2, con cita de otras). Aun siendo ésta la regla general, “es lo cierto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 [STC 40/2014, de 11 de marzo, FJ 2 b), con cita de la STC 151/2011, de 29 de septiembre, FJ 3] y se evita que el control de constitucionalidad se convierta en un control abstracto, para lo que el órgano judicial no tiene legitimación (SSTC 84/2012, de 18 de abril, FJ 2, y 146/2012, de 5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esta doctrina, resulta que el juicio de aplicabilidad puede entenderse realizado adecuadamente respecto al art. 4.2 de la Ley 16/1997, de 25 de abril, de regulación de servicios de las oficinas de farmacia (en la medida en que remite a las Comunidades Autónomas la regulación de las transmisiones de las oficinas de farmacia), pero la cuestión es distinta respecto al art. 47, apartados 1, 2, 3, 4 y 7 de la Ley 22/2007, de 18 de diciembre, de oficinas de farmacia de Andalucía. La existencia de una causa de imposibilidad legal de ejecución que se combate en la apelación que el órgano judicial ha de resolver se centra en la obligatoriedad de la presencia del farmacéutico titular en la oficina de farmacia (que deriva del art. 23.1 de la Ley 22/2007) y la imposibilidad de transmisión de la oficina autorizada antes del transcurso de los cinco años a los que hace referencia el art. 47.2 de la misma Ley 22/2007. Por tanto, el juicio de aplicabilidad en este caso debería entenderse limitado exclusivamente a lo dispuesto en este último precepto, con exclusión de los restantes que en realidad se refieren al régimen de transmisibilidad de las oficinas de farmacia. Ello no es directamente aplicable al caso que el órgano judicial ha de resolver en la apelación, sino que se relaciona con el cuestionamiento general que el Auto realiza del entero sistema de transmisión de las oficinas de farmacia regulado en la Ley 22/2007.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juicio de relevancia tampoco se formula adecuadamente. Dicho juicio, previsto en el art. 35.2 LOTC, es “el esquema argumental dirigido a probar que el fallo del proceso judicial depende de la validez de la norma cuestionada” (por todos, ATC 21/2001, de30 de enero, FJ 1), por lo que debe comprobarse si se ha argumentado debidamente la existencia de un nexo causal entre la validez de los preceptos legales cuestionados y la decisión a adoptar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cumplimiento de este requisito es una condición esencial de este proceso constitucional, en la medida en que por medio de él se garantiza que se establezca la relación necesaria entre el fallo del proceso judicial y la validez de la norma discutida (SSTC 254/2014 de 23 de diciembre, FJ 2; 47/2010, de 8 de septiembre, FJ 3; y 42/2013, de 14 de febrero, FJ 2 entre otras muchas). La cuestión de inconstitucionalidad no es un procedimiento dirigido a examinar en general y en abstracto normas con rango de ley en toda su extensión, función ésta que queda reservada por nuestra Constitución, principalmente, al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esta doctrina, el juicio de relevancia que expresa el Auto de planteamiento resulta defectuoso en un triple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dicho Auto de planteamiento no va más allá de exponer que, a su juicio, los preceptos cuestionados fueron aplicados en el pleito a quo y que, por tanto, han de ser relevantes. En realidad, dicho razonamiento no es útil, ya que lo que ha de justificarse es que los preceptos son aplicables al caso que el órgano judicial ha de resolver ahora, no el que resolvió en el pasado. Esto es, pronunciarse sobre la procedencia de apreciar o no la causa de imposibilidad de ejecución de su previa Sentencia de 17 de junio de 2013. En estas circunstancias, aunque pudiera admitirse que con ello se justifica la aplicabilidad de los preceptos cuestionados, no es posible reconocer en tal argumento una exteriorización del juicio de relevancia. En cuanto a esto último el Auto se limita a afirmar que de la validez constitucional del art. 47 de la Ley 22/2007 depende la resolución del caso, sin mayores precisiones, lo que determina que el órgano judicial no haya levantado la carga de “especificar y justificar” 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no se examina si, para cuando el órgano judicial plantea la cuestión ya ha desaparecido el obstáculo legal que, a juicio del Auto recurrido en apelación, impide la ejecución de la Sentencia, pues ya ha transcurrido el plazo de cinco años desde la apertura de la oficina de farmacia al que alude el artículo 47.2, como requisito para su transmisibilidad. La norma es, como ya se ha expuesto, aplicable, pero lo que debe valorarse si es, en ese momento, opera como una limitación que se opone a la ejecución de la Sentencia en sus propios términos. Lo mismo sucede con el art. 34 de la Ley 22/2007, no contemplado por el órgano judicial, el cual impide al titular que tuviese autorizada una oficina de farmacia que pueda ser adjudicatario de las que se oferten, en los concursos de las nuevas, en el municipio donde se ubique la que tiene autorizada.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la duda de constitucionalidad que se expresa nada tiene que ver con lo discutido en el pleito a quo. Lo que el órgano judicial viene a cuestionar es el entero sistema de transmisión de las oficinas de farmacia que, a su entender, deriva de los preceptos sobre los que expresa su duda de constitucionalidad. El Auto de planteamiento alude en repetidas ocasiones al sistema actual de transmisión y adquisición de farmacias, considerando que la posibilidad de transmisión libre que, a su juicio, deriva de los preceptos que cuestiona es lo que contraviene los arts. 23.2, 33.2 y 103.3 CE. Como también ha señalado el Ministerio público, este planteamiento del órgano judicial convierte a esta cuestión en un enjuiciamiento abstracto sobre el régimen de transmisibilidad de las oficinas de farmacia, desvinculado, por tanto, del caso concreto sometido a su consideración, lo que no resulta procedente en un proceso de estas características. De todo ello se sigue que el juicio de relevancia que formula es notoriamente inconsistente, pues los términos en los que el órgano judicial plantea su duda de constitucionalidad carecen de la exigible conexión o vinculación con el objeto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duda de constitucionalidad que se plantea puede considerarse notoriamente infundada en el sentido que a esta expresión le ha atribuido la doctrina del Tribunal (por todos, ATC 43/2014, de 12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las normas que se cuestionan regulan la posibilidad de transmisión libre de las oficinas de farmacia “por cualquiera de las formas admitidas en derecho”, citando el art. 47.2 de la Ley 22/2007 (en realidad es el art. 47.1). Esa posibilidad de transmisión libre, que constituye el específico objeto de la duda de constitucionalidad que se plantea, sería contraria a los arts. 23.2, 33.2 y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debe excluirse del análisis la perspectiva de la posible vulneración del art. 103.3 CE pues ninguna argumentación al respecto se contiene en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las dudas de constitucionalidad derivadas de la posible vulneración de los arts. 23.2 y 33.2 CE, la argumentación de la Sala se estructura en torno a dos premisas. La primera es que la transmisión de oficinas de farmacia es libre y la segunda que las farmacias, o sus titulares, ejercen funciones públicas en la medida en que se trata de una actividad sometida a autorización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razonamiento del órgano judicial mezcla el carácter público de una determinada actividad con el hecho de que esa actividad se encuentre sometida a un régimen de autorización administrativa, con lo que olvida que no toda actividad puede ser calificada como pública por requerir la intervención administrativa previa que supone la autorización. A los efectos del art. 23.2 CE, la autorización administrativa no cambia el carácter de la actividad que se desarrolla, que sigue siendo privada, sino que sirve a la finalidad de garantizar el interés público subyacente que justifica la intervención que supone el empleo de la técnica de la autorización. Interés público que en este caso se encuentra en la prestación adecuada del servicio farmacéutico a la población. Así, la autorización administrativa exigible para la apertura de las oficinas de farmacia constituye, sin duda, un requisito de organización y funcionamiento de un establecimiento sanitario en cuanto determina el modo y la forma en la que las farmacias sirven al mencionado interés. En esa línea la STC 109/2003, de 5 de junio, recuerda que “el desempeño de la titularidad de una oficina de farmacia … en la medida que se conecta a intereses constitucionales relevantes, como son los relativos a la protección de la salud (art. 43 CE), permite el establecimiento de controles por parte de los poderes públicos”, que el “titular de un establecimiento de farmacia (que) presta un servicio público en las condiciones que a la Comunidad Autónoma compete establecer y con las obligaciones que de dicha condición se derivan (FJ 14)”; y en el fundamento jurídico 15 reiteraba que “las oficinas de farmacia han sido configuradas por el legislador como 'establecimientos sanitarios privados de interés público', pues esta dimensión pública justifica en mayor medida la adopción de criterios que ordenen la prestación del servicio farmacéutico”.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anteriormente expuesto no enerva que tengan la condición de establecimientos privados que sirven a un interés público, en este caso, el sanitario presente en la dispensación de medicamentos. De este modo, libertad de empresa y propiedad privada, de un lado, e interés público y planificación pública, de otro, son los ejes sobre los que ha de estructurarse, por tanto, el sector farmacéutico, atendiendo a los relevantes intereses públicos en presencia, pero sin que el legislador haya decidido que dicha actividad quede reservada al sector público. El interés público determina que estos establecimientos privados queden sujetos a restricciones diversas que pueden, incluso, afectar a elementos estructurales como la transmisibilidad, o no de las oficinas de farmacia. Dicha restricción implica, frente a lo que se afirma en el Auto de planteamiento, que no existe un principio general de transmisibilidad sino una transmisibilidad limitada establecida por la norma estatal y concretada por las normas autonómicas que regulan la materia (en dicho sentido, STC 109/2003, FJ 10). O, en otros términos, que han de removerse previamente los obstáculos impuestos por la ley para el ejercicio de la actividad propia de las oficinas de farmacia, pues no otra cosa es la autorización previa de la transmisión.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Eso es lo que sucede en este caso. Basta para constatarlo que la Ley 22/2007 regula la autorización de nuevas oficinas de farmacia y su transmisión, que no puede calificarse como libre, en cuanto sujeta a una autorización administrativa previa, cuyas condiciones se regulan reglamentariamente, e imponen la condición de que se transmita al farmacéutico con mayor puntuación, de entre aquellos inscritos en la lista de adquirentes, que acepte las condiciones establecidas por el transmitente. La Ley 22/2007 establece así un modelo que asocia la titularidad de la oficina de farmacia con la actividad profesional de su titular en ella. Por esta razón, las autorizaciones para la apertura de nuevas oficinas de farmacia se otorgan en función de criterios de mérito y capacidad de sus titulares, y la transmisión de oficinas ya autorizadas se somete a similares criterios que suponen la limitación de la capacidad de elección del transmitente. Se trata, por tanto de un modelo, derivado de lo dispuesto por las normas básicas en la materia, en que el farmacéutico titular es, a la vez, prestador del servicio farmacéutico, motivo por el cual las condiciones personales son determinantes para la selección del número limitado de prestadores del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precisamente en ese contexto de transmisibilidad limitada en el que la STC 181/2014, de 6 de noviembre, FJ 2, recuerda la trascendencia de “los criterios de baremación relacionados con el mérito y capacidad, como son los méritos académicos, la formación posgraduada y la experiencia profesional, pues tratándose una “actividad privada” de incuestionable “interés público” (sujeta al régimen de autorización), aun sin tratarse estrictamente del acceso a la función pública, “resulta ineludible aplicar los principios de mérito y capacidad en el acceso al ejercicio de funciones propias del servicio farmacéutico, pudiendo entenderse que estas indicaciones están ínsitas en el principio de transparencia (recogido en el art. 11 de la Ley 3/1996). Todo ello sin perjuicio de que los principios del mérito y la capacidad resulten constitucionalmente exigibles como consecuencia del deber de la Administración pública, estatal o autonómica de servir a los intereses generales con objetividad (art. 103.1 CE) y de la interdicción de la arbitrariedad de los poderes públicos (art. 9.3 CE).” (STC 161/2011, de 19 de octubre, FJ 3)”. Este criterio vendría confirmado por el art. 47 de la Ley 22/2007, que junto a los principios de publicidad y trasparencia incluye, por remisión al artículo 41, la obligación de tener en cuenta los méritos académicos, la formación posgraduada y la experiencia profesional. En sus estrictos términos, el derecho fundamental que enuncia el art. 23.2 CE resulta completamente ajeno a la cuestión, pues ni la apertura de oficinas de farmacia, y ni siquiera el cumplimiento de la obligación de dispensación de medicamentos, entrañan el ejercicio de funciones públicas, cuyo acceso constituye el objeto de dicho derecho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aprecia la vulneración del art. 33.2 CE, que el órgano judicial presenta directamente relacionada con las que considera funciones públicas ejercidas por los farmacéuticos. Sentado que se trata de establecimientos privados, la propiedad privada de los mismos está obligada a convivir con las limitaciones o restricciones que legalmente se le impongan, por la incidencia que tiene el interés público en la actividad que realizan. Es preciso recordar que, como este Tribunal ha dicho, la Constitución “reconoce un derecho a la propiedad privada que se configura y protege, ciertamente, como un haz de facultades individuales sobre las cosas, pero también y al mismo tiempo, como un conjunto de deberes y obligaciones establecidos, de acuerdo con las leyes, en atención a valores o intereses de la comunidad, es decir, a la finalidad o utilidad social que cada categoría de bienes objeto de dominio esté llamada a cumplir” (SSTC 37/1987, de 26 marzo, FJ 2, y 89/1994, de 17 de abril, FJ 4). El legislador puede, en atención a la función social que cumple la propiedad, delimitar su contenido (art. 33.2 CE) definiendo los derechos y deberes que ésta comprende en cada caso, por cuanto “utilidad individual y función social definen, por tanto, inescindiblemente el contenido del derecho de propiedad sobre cada categoría o tipo de bienes” (STC 37/1987, FJ 2). El legislador puede de este modo articular la función social de la propiedad imponiendo cargas o extrayendo facultades del haz que él mismo ha asegurado previamente, lo que concurre en el presente supuesto en el que ha estimado procedente incidir, en el modo que ya hemos expuesto, en el régimen de transmisibilidad de las oficinas de farmacia como forma de asegurar el interés general vinculado a estos establecimientos, respetando, en lo restante, la utilidad meramente individual del derecho de propiedad de estos establecimientos.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los argumentos del Auto se apoyan en una identificación entre el ejercicio de la profesión farmacéutica, y el establecimiento de oficinas de farmacia, que no es aceptable, pues, como ha apuntado el Ministerio Fiscal, los farmacéuticos pueden ejercer su profesión de modos distintos a la dispensación al público de medicamentos. Cuestión distinta es que las oficinas de farmacia, junto con los servicios que se incardinan en las estructuras asistenciales de los servicios públicos de salud, ostenten el monopolio legal para custodiar, conservar y dispensar medicamentos; y, también, que exista una íntima relación entre la titularidad de una oficina de farmacia y el ejercicio por cuenta propia de la profesión, en su vertiente de venta al público de productos medicinales, cimentada en que sólo los farmacéuticos pueden ser propietarios de oficinas de farmacia.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modelo podrá ser discutido desde la perspectiva de su eficacia técnica, pero no puede serlo desde la óptica constitucional que se aporta en el Auto de planteamiento porque nada hay en la Constitución que excluya la posibilidad de regular y limitar el establecimiento de oficinas de farmacia (STC 83/1984, de 24 de julio, FJ 3). Los riesgos especulativos que aprecia el órgano judicial no pueden servir para justificar la inconstitucionalidad que denuncia, sin perjuicio de advertir que, en todo caso, esa es una cuestión que entra dentro del margen de apreciación del legislador, al que, en su caso, le correspondería, si lo estima oportuno, introducir mecanismos específicos que vayan dirigidos a eliminar o mitigar tales riesgos en la medida en que se trata de un debate que “queda al margen del control de constitucionalidad, y se enmarca dentro de la libertad configurativa del legislador” (ATC 152/2014, de 27 de mayo,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