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28 de noviembre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354-2014, promovido por Endesa, S.A., representada por el Procurador de los Tribunales don Manuel Lanchares Perlado y asistida por los Abogados don Félix Plasencia Sánchez, don José Antonio Rodríguez Álvarez y don Jaime Almenar Belenguer, contra: i) la resolución de la Comisión Nacional de Energía, de 12 de abril de 2012, por la que se practicó la liquidación provisional núm. 2-2012 de las actividades reguladas del sector eléctrico; ii) la Sentencia de la Sala de lo Contencioso-Administrativo de la Audiencia Nacional, de 30 de enero de 2013, por la que se desestimó el recurso contencioso-administrativo núm. 9-2012 interpuesto contra la citada resolución; y iii) la Sentencia de la Sala de lo Contencioso-Administrativo del Tribunal Supremo (Pleno), de 18 de noviembre de 2013, que desestimó el recurso de casación núm. 848-2013 presentado contra la Sentencia de instancia. Han comparecido y formulado alegaciones el Abogado del Estado, el Ministerio Fiscal y la entidad Endesa, S.A.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enero de 2014, el Procurador de los Tribunales don Manuel Lanchares Perlado, en nombre y representación de Endesa, S.A., interpuso un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Endesa, S.A., interpuso un recurso contencioso-administrativo por el procedimiento especial para la protección de los derechos fundamentales contra la resolución del Consejo de la Comisión Nacional de Energía que aprobó la liquidación provisional núm. 2 de las actividades reguladas del sector eléctrico del ejercicio 2012 (en lo sucesivo, liquidación 2-2012), por la que se establecía una obligación de abono de 93.031.339 € a cargo de Endesa, S.A., en concepto de financiación del déficit de tarifa, conforme a lo previsto en la disposición adicional vigésima primera de la Ley 54/1997, de 27 de noviembre, del sector eléctrico (LSE, en lo que sigue). La demandante sostenía que, al imponer la carga de financiación del déficit de tarifa exclusivamente a las cinco empresas del sector que señala la norma (entre ellas Endesa, S.A.), se lesiona el derecho a la igualdad ante la ley, reconocido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Tramitado dicho recurso ante la Sección Cuarta de la Sala de lo Contencioso-Administrativo de la Audiencia Nacional con el núm. 9-2012, fue desestimado por la Sentencia de 30 de enero de 2013, declarando la resolución impugnada ajustada a Derecho, al compartir las razones esgrimidas por la Administración, según la cual la selección de las cinco empresas financiadoras se justificaba en el hecho de haber sido perceptoras en el pasado de los costes de transición a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referida Sentencia la sociedad mercantil demandante interpuso un recurso de casación (núm. 848-2013), aduciendo la vulneración del art. 14 CE y de los principios de imprescriptibilidad, irrenunciabilidad, indisponibilidad y permanencia de los derechos fundamentales y, en particular, del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Sentencia de 18 de noviembre de 2013 el Pleno de la Sala de lo Contencioso-Administrativo del Tribunal Supremo desestimó el recurso de casación. Acogiendo la argumentación de la Sentencia de instancia, compartida por el Abogado del Estado y el Ministerio Fiscal, la Sala razonó que la obligación impuesta a la recurrente, junto a otras cuatro empresas eléctricas, se fundamentaba en que se trata de operadores dominantes del sector, que fue precisamente el motivo de que se les reconociera en su momento el derecho a percibir la compensación por los costes de transición a la competencia. En contra de lo alegado por la empresa, según la cual la justificación aportada por la Administración y el Ministerio público para la selección de un número determinado de entidades obligadas era fruto de una elaboración ex post facto, el Tribunal Supremo consideró justificada la decisión del legislador, debido a la posición singular de Endesa, S.A., en el sector eléctrico español y, en particular, en la coincidencia en los porcentajes con los que se benefició de las compensaciones por los costes de transición a la competencia, una vez tenidas en cuenta las operaciones que le llevaron a hacerse con otras empresas que también accedieron en su día a las mismas. A lo anterior la Sala añade que las empresas obligadas no son ajenas a la creación del déficit, que es consecuencia de un sistema del que se han beneficiado; que son grupos de empresas integrados verticalmente, con presencia en todos los subsectores de actividad; y que su singular posición va acompañada de una especial solvencia y capacidad para asumir la obligación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un único motivo: la vulneración del derecho de la sociedad demandante a la igualdad de trato sin discriminación (art. 14 CE), achacable a la liquidación 2-2012; ahora bien, como este acto administrativo se dictó en aplicación de la disposición adicional vigésima primera LSE, en la redacción vigente en aquel momento, entiende que la infracción deriva directamente de la inconstitucionalidad de dicha norma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 trascendencia constitucional del recurso se justifica por la demandante con apoyo en cuatro razones: i) la vulneración del derecho fundamental que se denuncia proviene de la ley, en particular, de la disposición adicional vigésima primera LSE; ii) el asunto suscitado trasciende del caso concreto y plantea una cuestión jurídica de relevante y general repercusión social o económica; iii) el recurso plantea nuevos problemas o facetas de un derecho fundamental susceptible de amparo; y iv) la contradicción de la doctrina que ahora se recurre con la expuesta por la Sentencia del Tribunal Supremo de 7 de febrero de 2012, sobre el “bono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argumenta que la infracción del art. 14 CE se produce porque se impone una obligación extremadamente onerosa a un grupo de empresas de forma singularizada y nominativa, sin que tal selección de destinatarios concretos y no de otros en situación análoga presente una justificación objetiva y razonable. En este sentido, invoca como términos de comparación válidos que demostrarían la discriminación: i) por un lado, el resto de empresas del sector eléctrico, en particular las empresas titulares de activos de régimen especial, porque, a su juicio, si la financiación del déficit no se asume por los presupuestos ni por los ciudadanos, debe recaer sobre el conjunto del sector, y no únicamente sobre las cinco entidades seleccionadas, resultando, además, que las productoras de régimen especial son especialmente responsables, por las primas que reciben, del déficit tarifario; y ii) en segundo lugar, otros sectores empresariales ajenos al eléctrico, ya que el déficit se ha producido por una decisión de política económica y su financiación puede hacerse descansar también sobre otros sectores que emplean la electricidad en sus procesos productivos y que se benefician de la contención de la tarifa eléctrica, que está en el origen del déficit.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demandante, no hay una justificación que explique la imposición a determinadas empresas de la obligación de financiar el déficit de la tarifa eléctrica. No la hay en la ley, ni en sus antecedentes, y la que se ha aducido por la Administración, aunque acogida por los tribunales que han confirmado la resolución administrativa, no es objetiva ni razonable. En particular, la circunstancia de haber percibido los costes de transición a la competencia no puede fundamentar la obligación analizada, puesto que estos eran una compensación legalmente reconocida por la liberalización del mercado eléctrico y, por tanto, sin relación con déficit de tarifa. En todo caso, esa hipotética relación desapareció en 2005, cuando se empezó a designar nominativamente a las empresas obligadas, y, sin ningún género de dudas, a partir de 2006, puesto que el Real Decreto-ley 7/2006 suprimió el régimen de los costes de transición a la competencia. Tampoco puede admitirse que las obligadas se hayan seleccionado por ser causantes del déficit, pues este es consecuencia de la decisión legislativa de no trasladar a los consumidores el coste real de la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también estima infundadas el resto de razones aducidas. Así, en cuanto a la condición de operador dominante, afirma que se trata de un concepto legal, que lleva aparejadas determinadas restricciones, pero que no guarda relación alguna con el déficit ni con su financiación, siendo además una condición mutable. En cuanto al hecho de tratarse de un grupo integrado verticalmente, no se comprende por qué razón le cualifica para financiar el déficit frente a otros operadores no integrados. Por último, tampoco el criterio de solvencia es una razón válida, pues en 2011 había 36 empresas productoras de electricidad y solo se elige a cinco, a pesar de que entre el resto hay entidades españolas e internacionales de reconocida solvencia; y en otros subsectores, como el transporte, operan entidades como Red Eléctrica Española, S.A., que cotiza en el IBEX 35, y que también podría haber quedado sujeta a la carga de financiar el déficit.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los porcentajes en que resultan obligadas no se corresponden ni con el peso en el sector, ni con su solvencia económica general, prueba de lo cual es que son prácticamente los mismos desde 2005. En particular, el porcentaje exigido a Endesa, S.A. es absolutamente desproporcionado en relación con su peso en el mercado, sin que tampoco se pueda justificar por participación en los costes de transición a la competencia puesto que el último porcentaje de reparto de estos atribuía a la entidad una cuota del 47,12 por 100, mientras que su porcentaje de financiación del déficit asciende al 44,16 por 100. En definitiva, según la empresa, todas las razones aducidas son un “puro ejercicio de voluntarismo”.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en amparo añade a lo anterior que su derecho a la igualdad también debe interpretarse a la luz del ordenamiento comunitario, con arreglo al cual la imposición de la carga de financiar el déficit es una obligación de servicio público de la Directiva 2009/72 (art. 3.2), lo que impide otorgar un trato diferenciado en situaciones comparables. Al hilo de este enfoque comunitario, abunda en el argumento de que la percepción de los costes de transición a la competencia en el pasado no puede fundamentar la imposición de esta obligación para el futuro. Agrega que la carga se impone a empresas como Gas Natural SDG, S.A., que no percibió costes de transición a la competencia, y, por contra, no se exige a Elcogás, S.A., que sí los cobró. Por último, alega que lo razonable en todo caso habría sido que el importe de la carga hubiera estado limitado a la cuantía de los costes de transición a la competencia recibidos.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ni aisladamente ni en su conjunto, las razones expuestas sirven para justificar la desigualdad de trato, por todo lo cual solicita que se anule la liquidación 2-2012 impugnada y se reconozca vulnerado el art. 14 CE, previa elevación de la cuestión al Pleno, con base en lo dispuesto en el art. 55.2 de la Ley Orgánica del Tribunal Constitucional (LOTC) y planteando, en caso de que el Tribunal considerara dudosa la interpretación del principio comunitario de igualdad de trato, una cuestión prejudicial de conformidad con el art. 267 Tratado de funcionamiento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noviembre de 2014 la Sala Segunda de este Tribunal acordó la admisión a trámite del recurso de amparo por lo que, a tenor de lo dispuesto en el art. 51 LOTC, ordenó requerir atentamente al Pleno de la Sala de lo Contencioso-Administrativo del Tribunal Supremo y a la Sección Cuarta de la Sala de lo Contencioso-Administrativo de la Audiencia Nacional para que en el plazo de diez días remitieran, respectivamente, certificación o copia adverada de las actuaciones correspondientes al recurso de casación núm. 848-2013 y al recurso contencioso-administrativo núm. 9-2012, tramitado por el procedimiento especial para la protección de los derechos fundamentales, interesándose al propio tiempo el emplazamiento de quienes hubieran sido parte en ese procedimiento, excepto la parte recurrente en amparo, para que en el plazo de diez días pudieran comparecer, si lo deseaban,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Sección Tercera de la Sala Segunda de 26 de diciembre de 2014 se tuvo por personado y parte al Abogado del Estado y a los Procuradores doña Pilar Irribarren Cavalle en nombre y representación de Gas Natural SDG, S.A., y don Carlos Mairata Laviña en nombre y representación de Hidroeléctrica del Cantábrico, S.A. Asimismo, se tuvieron por recibidos los testimonios de las actuaciones remitidos por los correspondientes órganos judiciales y se procedió, conforme a lo establecido en el art. 52.1 LOTC, a dar vista de las actuaciones por plazo común de veinte días a las partes y al Ministerio Fiscal, para que presentaran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Endesa, S.A., presentó su escrito de alegaciones en este Tribunal el 29 de enero de 2015, ratificándose en las alegaciones formuladas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dio cumplimiento al trámite de alegaciones conferido mediante escrito registrado en este Tribunal también el 29 de enero de 2015, por el que solicita que se desestime el recurso de amparo, por las razones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 la Administración del Estado comienza señalando que, aunque la demandante critica la Sentencia impugnada por irracional y arbitraria, no invoca el art. 24.1 CE, lo que pone en evidencia que, a pesar de su argumentación, simplemente la considera no correcta, pero no carente de racionalidad. Y, tras recordar que las personas jurídicas son también titulares de derechos fundamentales y, en particular, del derecho a la igualdad del art. 14 CE, matiza que, no obstante, existe una diferencia de intensidad en relación con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entra a valorar los términos de comparación ofrecidos por la recurrente, como elemento esencial para apreciar la vulneración del principio de igualdad, no sin antes recordar que la Administración ha negado la existencia de tales términos, tanto en el proceso ante la Audiencia Nacional como en la casación ante el Tribunal Supremo. En este sentido, considera que la apelación al resto de empresas de otros sectores económicos es una alegación genérica, que la doctrina constitucional niega como válida; en cuanto a las empresas eléctricas de régimen especial, alega que con su invocación la demandante está realmente criticando la opción legislativa sobre la financiación del déficit, pero sin recoger un término de comparación, a lo que añade que, desde 2010, la carga de reestructuración del sector eléctrico ha recaído de manera intensa en las empresas sujetas al régimen especial; de igual modo, entiende que la referencia al resto de empresas del sector eléctrico es genérica, sin concretar una situación singular equiparable a la de la demandante (empresa dominante, que cobró costes de transición a la competencia y es actor principal del sector eléctrico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que, a falta de un término válido de comparación, el juicio de igualdad se ha de llevar a cabo desde la perspectiva de la interdicción de la arbitrariedad. Y en este punto recuerda que nos encontramos ante una norma con rango legal, que goza de presunción de constitucionalidad, de acuerdo con la doctrina constitucional que cita. En este sentido, la medida enjuiciada debe enmarcarse en un entorno de grave crisis económica que obligó a dictar numerosos reales decretos-leyes para hacer frente al creciente déficit tarifario.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argumentar la justificación objetiva y razonable de la medida controvertida, se remite a la posición mantenida por la Abogacía del Estado ante la Audiencia Nacional y el Tribunal Supremo, que ha sido acogida por ambos tribunales, por lo que no cabe sino insistir en el razonamiento de la Sentencia del Pleno de la Sala de lo Contencioso-Administrativo de 18 de noviembre de 2013, aquí impugnada, y en los rasgos de Endesa, S.A., y de las otras cuatro obligadas que la Sentencia identifica como distintivos, sin olvidar, como hace el Tribunal Supremo, que “aunque el legislador hubiera podido optar por otra forma de afrontarlo [el déficit de tarifa]”, la decisión política plasmada en la disposición adicional vigésima primera LSE descansa en unos hechos indubitados.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invocación del derecho comunitario y a la calificación de la obligación impuesta como una obligación de servicio público a los efectos del art. 3.2 de la Directiva 2009/72, recuerda que el Tribunal Constitucional ha declarado reiteradamente que las cuestiones de aplicación del Derecho comunitario corresponden a los tribunales ordinarios, valorando esta aplicación solo desde la perspectiva del art. 24.1 CE, como se refleja en la STC 145/2012. Por tanto, el Tribunal solo podría cuestionar la Sentencia impugnada desde el punto de vista del Derecho de la Unión Europea si su razonamiento hubiera incurrido en arbitrariedad o irracionalidad, lo que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el 6 de febrero de 2015 su escrito de alegaciones en el que, tras exponer los antecedentes del asunto, analiza el contenido de la vulneración constitucional denunciada por la sociedad demandante de amparo, que debe enmarcarse en el art. 43 LOTC, puesto que se causó originariamente por un acto de la Administración, que las Sentencias impugnadas no han hecho sino confirmar.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el tenor literal de la disposición adicional vigésima primera LSE y traer a colación la doctrina constitucional sobre el principio de igualdad, se centra en los dos términos de comparación invocados por la recurrente en amparo, a saber: i) las demás empresas que operan en el sector eléctrico; y ii) las empresas que actúan en otros sectores económicos distintos del eléctrico. Comienza rechazando de plano el segundo de los términos propuestos, pues no es posible aceptar que empresas cuya actividad es ajena a este sector puedan considerarse iguales u homogéneas a la recurrente. En cuanto a las restantes empresas eléctricas, la demanda no acredita la identidad de situación con Endesa, S.A., siendo así que, por ejemplo y por lo que concierne a las productoras eléctricas de régimen especial, estas ya han sido objeto de otras medidas legales encaminadas a superar el déficit estructural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Fiscal pone de manifiesto, con cita de la STC 49/2008, que no es exigible al legislador que incorpore a la norma la explicación de los motivos tenidos en cuenta para su aprobación, siempre que estos se puedan identificar. Y examina, a renglón seguido, la justificación de la medida, encuadrándola previamente en el contexto de la regulación del mercado eléctrico y, en concreto, del reconocimiento de los costes de transición a la competencia. Así, enfatiza la conexión directa que existió en un primer momento entre la percepción de estos derechos y la obligación de cubrir el déficit, vínculo que quedó implícito en la regulación posterior, materializada en la redacción dada a la disposición adicional vigésima primera LSE por el Real Decreto-ley 6/2010, de 9 de abril, aplicable al caso enjuiciado. Añade que las diferencias entre el listado original de obligados y porcentajes y los recogidos en la disposición adicional vigésima primera LSE se explican por las operaciones societarias llevadas a cabo entre las empresas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anterior, la Fiscal aborda las razones aducidas por la Administración para justificar la imposición de la carga controvertida, y que el Tribunal Supremo hace suyas. Descarta, en primer lugar, que sean factores elaborados ex novo, sino que derivan de datos reales y objetivos, que resultan de la propia sucesión de las normas reguladoras del sector eléctrico, particularmente de las referidas a la percepción de los costes de transición a la competencia. La condición de beneficiaria de estas compensaciones sirve como justificación objetiva aun habiéndose suprimido este régimen, debido a las retribuciones adicionales obtenidas por la recurrente y el resto de empresas obligadas. Y, al igual que en el régimen de los costes de transición a la competencia, la obligación de financiación se impone a las sociedades matrices de cada grupo empresarial, lo que ratifica la conexión entre ambas normativas. Además, este factor de singularización y el resto de los indicados deben valorarse en su conjunto, y no de forma aislada, como pretende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concierne a la proporcionalidad de la medida, el Ministerio público destaca que no se trata de una obligación de pago definitiva, sino de un empréstito forzoso, con derecho a reembolso y al abono de un interés de mercado, pudiéndose además movilizar el préstamo mediante su titulización. No niega la Fiscal que el legislador pudiera haber optado por un sistema de financiación distinto e igualmente razonable, pero la decisión adoptada se enmarca en el margen de configuración que le corresponde. Y, en cuanto a la proporcionalidad de los porcentajes, la demandante no identifica el término de comparación con el que el porcentaje exigido daría lugar a una discriminación, debiendo reiterarse que las posibles diferencias entre los aplicados a los costes de transición a la competencia y los previstos en la disposición adicional vigésima primera LSE se deben a los procesos de reestructuración empresarial llevados a cabo. Es llamativa —puntualiza—, la referencia que hace la demandante a que el último porcentaje que le fue asignado en los costes de transición a la competencia fue el 47,12 por 100 mientras que la parte de déficit que se le imputa es de 44,16 por 100 (de lo que cabría colegir que en términos relativos ha sido mayor el beneficio derivado de las compensaciones que la carga de financiación reclamada). Y concluye, con base en lo expuesto, que existe una justificación objetiva, razonable y proporcionada del trato desigual.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 escrito el Ministerio Fiscal refiriéndose a la invocación del Derecho de la Unión Europea que hace la demanda, recordando que no puede considerarse un canon autónomo de constitucionalidad, para negar, a continuación, que nos hallemos ante una obligación de servicio público en el sentido de la Directiva 2009/72 sino ante una prestación patrimonial pública no tributaria de las previstas en el art. 31.3 CE, por lo que no cabe invocar la Sentencia del Tribunal Supremo de 7 de febrero de 2012 referida al “bono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concluye interesando que, sin acceder a la solicitud de la demandante de que se eleve la decisión al Pleno, con base en el art. 55.2 LOTC, ni de que se plantee una cuestión prejudicial ante el Tratado de funcionamiento de la Unión Europea, se dicte Sentencia por la que se desestime el recurso de amparo interpuesto por la citada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29 de febrero de 2016 la Sala Segunda de este Tribunal acordó conceder a las partes personadas y al Ministerio Fiscal un plazo común de diez días, con arreglo a lo dispuesto en el art. 84 LOTC, para alegar lo que estimaran pertinente sobre la eventual pérdida de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Evacuando el trámite conferido, mediante escrito de 28 de marzo de 2016, el Abogado del Estado manifestó que coincidía con la pérdida de objeto del recurso, al haberse satisfecho la cantidad exigida a la recurrente, tal y como se acreditaba con la documentación que aportaba de la que se desprendía que la entidad recuperó las cantidades aportadas en el propio ejercicio 2012, por lo que no se devengaron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Endesa, S.A., se manifestó en contra de la pérdida de objeto, por medio de un escrito registrado el 29 de marzo de 2016, en el que argumentaba que, si bien había recuperado las cantidades anticipadas, no se había producido la reparación de los derechos vulnerados ni la satisfacción de los perjuicios soportados como consecuencia del préstamo forzoso exigido.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el Auto 97/2016, de 4 de mayo, la Sala Segunda acordó estimar justificada la causa de abstención formulada por el Magistrado don Ricardo Enríquez Sancho, apartándole definitivamente del conocimiento del presente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el Auto de la Sala Segunda 100/2016, de 9 de mayo, se declaró que la efectiva recuperación de las cantidades anticipadas al sistema eléctrico no permitía concluir que el recurso de amparo hubiera perdido su objeto, puesto que lo solicitado por la recurrente era que se declarase inconstitucional la obligación que se le impuso, no el reconocimiento de su derecho a recuperar el préstamo forzoso realizado, que es inherente a tal figura y que, por otra parte, no resultaba controvertido; a lo que se añadía que la entidad recurrente había alegado que, como consecuencia del préstamo forzoso que le fue exigido, había experimentado una serie de perjuicios, cuya indemnización pretendía reclamar. Por todo lo cual, se acordó que el recurso no había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22 de noviembre de 2016, se acordó señalar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resolución del Consejo de la Comisión Nacional de Energía que aprobó la liquidación 2-2012, de las actividades reguladas del sector eléctrico del ejercicio 2012, así como las resoluciones judiciales que la han confirmado, han vulnerado el derecho de Endesa, S.A., a la igualdad (art. 14 CE), en la medida en que la sociedad ha sido designada de forma nominativa para cubrir en un determinado porcentaje el denominado “déficit de tarifa”, sin que resulte justificado que se le imponga esta carga a ella y no a otras empresas que se encuentran, a su juicio, en una situación comparable.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Abogacía del Estado como el Ministerio Fiscal interesan la desestimación del amparo, puesto que la norma con base en la cual se dicta la resolución administrativa se fundamenta en la situación singular de la demandante: empresa dominante, que cobró costes de transición a la competencia y es actor principal del sector eléctrico nacional, lo que constituye una justificación objetiva y razonable a efectos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ninguna de las partes comparecidas ha puesto en duda la especial trascendencia constitucional de este recurso, que es requisito para su admisión de conformidad con el art. 50.1 b) de la Ley Orgánica del Tribunal Constitucional (LOTC) y, por consiguiente, de orden público procesal (entre otras, STC 113/2012, de 24 de mayo, FJ 2, y las allí citadas), exigencias de certeza y buena administración de justicia (STEDH de 20 de enero de 2015, caso Arribas Antón c. España, § 46) obligan a explicitar el cumplimiento del mismo para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alega varias razones por las que el recurso revestiría la especial trascendencia constitucional exigible, entre ellas, que la vulneración denunciada proviene de la ley, que es uno de los supuestos específicamente contemplados en el fundamento jurídico 2 c), de nuestra STC 155/2009, de 25 de junio (que “la vulneración del derecho fundamental que se denuncia provenga de la ley o de otra disposición de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 una cuestión no controvertida que la liquidación impugnada se ha dictado en estricto cumplimiento de lo previsto en la disposición adicional vigésima primera de la Ley 54/1997, de 27 de noviembre, del sector eléctrico (LSE), por lo que la vulneración del art. 14 CE en que hubiera podido incurrir el acto administrativo derivaría directa y necesariamente de la citada norma legal, que es, cabalmente, el supuesto a que se refiere la STC 155/2009, FJ 2 c). Por consiguiente, el recurso reviste, efectivamente,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del recurso, debemos comenzar recordando que la disposición adicional vigésima primera LSE, bajo el encabezamiento “Suficiencia de los peajes de acceso y desajustes de ingresos de las actividades reguladas del sector eléctrico”, establece un método para financiar los posibles desajustes en las liquidaciones de las actividades reguladas, lo que comúnmente se viene conociendo como “déficit de tarifa”, entendido en sentido amplio como la diferencia entre los costes del sistema eléctrico y los ingresos obtenidos a partir de los precios regulados por el Estado. Pues bien, en la redacción aplicable ratione temporis (dada por el Real Decreto-ley 6/2010, de 9 de abril), la citada norma dispone en su apartado 2 (referido a la cobertura de los desajustes hasta 1 de enero de 2013, que es lo relevante, puesto que se analiza una liquidación correspondiente a 2012), en lo que ahora estrictamente interesa,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por la aparición de desajustes temporales, el fondo acumulado en la cuenta específica a que se refiere el Real Decreto 2017/1997, de 26 de diciembre, abierta en régimen de depósito arrojara un saldo negativo, éste será liquidado por la Comisión Nacional de Energía en las liquidaciones mensuales aplicando los siguientes porcentajes de reparto: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....................EMPRESA................................PORCENTAJE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..........Iberdrola S.A. ………….................... 35,01 por ciento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..........Hidroeléctrica del Cantábrico, S.A....... 6,08 por ciento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..........Endesa S.A. ………….......................  44,16 por ciento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..........EON España, S.L. …............................  1,00 por ciento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..........GAS Natural S.D.G, S.A..................... 13,75 por ciento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porcentajes de reparto podrán ser modificados por real decreto, cuando se produzcan desinversiones significativas que afecten a las empresas en la actividad de distribución, cuando se produzcan cambios estructurales sustanciales en la actividad de generación que así lo justifiquen o como consecuencia de inversiones o desinversiones significativas en activos de generación.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empresas tendrán derecho a recuperar las aportaciones por este concepto en las 14 liquidaciones correspondientes al periodo en que se modifiquen las tarifas de acceso para el reconocimiento de dicho desajuste temporal. Las cantidades aportadas por este concepto serán devueltas reconociéndose un tipo de interés en condiciones equivalentes a las del mercado que se fijará en la orden por la que se aprueban los peajes.”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partes coinciden en calificar la obligación impuesta a las cinco entidades relacionadas como una “prestación patrimonial de carácter público” que hemos caracterizado como aquellas impuestas coactivamente, esto es, derivadas de una obligación de pago establecida unilateralmente por el poder público “sin el concurso de la voluntad del sujeto llamado a satisfacerla”, siempre que, al mismo tiempo, “la prestación, con independencia de la condición pública o privada de quien la percibe, tenga una inequívoca finalidad de interés público” (SSTC 185/1995, de 14 de diciembre, FJ 3; 182/1997, de 28 de octubre, FJ 15; 233/1999, de 16 de diciembre, FJ 33; 83/2014, de 29 de mayo, FJ 3, y 167/2016, de 6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la prestación impuesta consiste en un préstamo forzoso, en virtud del cual las mencionadas compañías deben efectuar un desembolso, que se cuantifica aplicando los porcentajes de reparto establecidos al saldo negativo de la cuenta de liquidación de los costes e ingresos regulados del sistema, teniendo “derecho a recuperar las aportaciones por este concepto … [que] serán devueltas reconociéndose un tipo de interés en condiciones equivalentes a las del mercado que se fijará en la orden por la que se aprueban los peajes”, tal y como disponen el apartado 2, último párrafo, y el apartado 5 de la disposición adicional vigésima primera LSE. El apartado 5, párrafo primero, de la citada norma añade que “[l]os déficit del sistema de liquidaciones eléctrico generarán derechos de cobro consistentes en el derecho a percibir un importe de la facturación mensual por peajes de acceso de los años sucesivos hasta su satisfacción” y que tales derechos de cobro “se podrán ceder a un fondo de titulización que se constituirá a estos efectos y se denominará Fondo de Titulización del Déficit del Sistema Eléctrico”. De hecho, en el incidente abierto sobre la posible pérdida sobrevenida del objeto de este proceso el Abogado del Estado acreditó que los derechos de cobro de la liquidación 2-2012 habían sido cedidos al citado fondo, por lo que la entidad recurrente ya había recuperado su importe.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nuestra reciente STC 167/2016, de 6 de octubre, mediante la que se ha resuelto la cuestión de inconstitucionalidad núm. 6599-2013, referida a la disposición adicional tercera del Real Decreto-ley 14/2010, de 23 de diciembre, por el que se establecen medidas urgentes para la corrección del déficit tarifario del sector eléctrico, hemos analizado la obligación impuesta a 11 compañías generadoras de electricidad de asumir, en un determinado porcentaje, el coste de los planes de ahorro y eficiencia energética de los años 2011, 2012 y 2013. Dicha norma es similar a la que aquí resulta controvertida, tanto por su naturaleza (una prestación patrimonial de carácter público no tributaria), como por sus destinatarios (un número determinado de empresas del sector eléctrico), su carácter temporal y el contexto normativo en que se enmarca (la adopción de medidas para afrontar el déficit de la tarifa eléctrica), diferenciándose tan solo por el contenido de tal prestación, pues la prevista en el Real Decreto-ley 14/2010 es una contribución definitiva, mientras que la disposición adicional vigésima primera LSE regula un préstamo al sistema eléctrico y, por consiguiente, con derecho de reembolso.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la obligación examinada en la STC 167/2016, la carga de anticipar unas cantidades para equilibrar el desajuste entre los costes e ingresos regulados debe situarse en el marco de la relación económica que los sujetos obligados mantienen con el Estado dentro de un sector necesaria e intensamente regulado como el eléctrico, status del que pueden surgir tanto derechos como cargas que asumir. A este equilibrio entre derechos y cargas también nos hemos referido al analizar otras actividades reguladas, como en la STC 83/2014, de 29 de mayo, en la que declaramos ajustada a la Constitución la deducción sobre la facturación mensual de las oficinas de farmacia introducida por el Real Decreto-ley 5/2000, de 23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la similitud entre la disposición adicional tercera del Real Decreto-ley 14/2010 y la disposición adicional vigésima primera LSE, interesa destacar que en la STC 167/2016 nuestro análisis se ha enfocado también desde el canon del art. 14 CE, por lo que, sin perder de vista la distinta naturaleza y efectos de cada proceso constitucional, las circunstancias aquí concurrentes hacen extensible, mutatis mutandis, el razonamiento contenido en dicha Sentencia al juicio de igualdad que debemos abordar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lo anterior, procede recordar que el principio de igualdad “en la ley”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Lo que prohíbe el principio de igualdad son, en suma, las desigualdades que resulten artificiosas o injustificadas por no venir fundadas en criterios objetivos y razonables, según criterios o juicios de valor generalmente aceptados, luego para que sea constitucionalmente lícita la diferencia de trato, las consecuencias jurídicas que se deriven de tal distinción deben ser proporcionadas a la finalidad perseguida, de suerte que se eviten resultados excesivamente gravosos o desmedidos (entre muchas otras, SSTC 22/1981, de 2 de julio, FJ 3; 255/2004, de 23 de diciembre, FJ 4; 10/2005, de 20 de enero, FJ 5; 295/2006, de 11 de octubre, FJ 5; 83/2014, de 29 de mayo, FJ 7, y 167/2016,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nuestra doctrina sobre el art. 14 CE recién sintetizada, y comoquiera que lo propio del juicio de igualdad es su carácter relacional (por todas, STC 71/2016, de 14 de abril, FJ 3), para comprobar si la disposición adicional vigésima primera LSE observa dicho precepto, es preciso, en primer lugar, concretar si las situaciones que se pretenden comparar son iguales (juicio de comparabilidad); en segundo término, y una vez razonado que las situaciones son comparables, si concurre una finalidad objetiva y razonable que legitime el trato desigual de esas situaciones (juicio de razonabilidad, en clave de legitimidad y funcionalidad para el fin perseguido); y, por último, si las consecuencias jurídicas a que conduce la disparidad de trato son razonables, por existir una relación de proporcionalidad entre el medio empleado y la finalidad perseguida, evitando resultados especialmente gravosos o desmedidos (juicio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iter valorativo apuntado debe partir de la premisa, no discutida por las partes que han comparecido en este proceso, de que las cinco entidades incluidas en la norma que se juzga son —considerando las operaciones de concentración producidas y los subsiguientes cambios de denominación— los operadores tradicionales del mercado eléctrico español. Fueron estos operadores (entre ellos, la recurrente), que habían estado desarrollando su actividad bajo el denominado “marco legal estable”, los que, ante la necesidad de adaptar el ordenamiento español a la Directiva 96/92/CE, sobre normas comunes para el mercado interior de la electricidad, impulsaron a través de la “Asociación Española de la Industria Eléctrica”, junto con el Ministerio de Industria y Energía, el “Protocolo para el establecimiento de una nueva regulación del sistema eléctrico nacional” suscrito el 11 de diciembre de 1996, y que precedió a la Ley del sector eléctrico de 27 de noviembre de 1997. Esta ley avanzó en la liberalización del sector para su adaptación al Derecho de la Unión Europea, proceso en el marco del cual se reconoció a tales operadores el derecho a percibir los costes de transición a la competencia, según el régimen incorporado a la disposición transitoria sexta de la ley. La exposición de motivos de la Ley del sector eléctrico (norma que estuvo en vigor, aun con múltiples modificaciones, hasta su sustitución por la Ley 24/2013, de 26 de diciembre) resalta la importancia del referido acuerdo y de sus firmantes, cuando afirma: “El citado Protocolo, carente de la eficacia normativa de toda norma general, supuso la concreción de un diseño complejo y global de transición de un sistema intervenido y burocratizado a un sistema más libre de funcionamiento del sector. Supuso, asimismo, el acuerdo con los principales agentes económicos de la industria sobre una profunda modificación del sistema retributivo hasta ahora vigente y sobre el escalonamiento progresivo de las distintas etapas conducentes a la liberalización del mercado. El Protocolo se configuró, en definitiva, para que, considerado en toda su extensión, fuese elemento inspirador de un profundo proceso de cambio”.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la obligación de financiar el déficit tarifario que se exige a las empresas mencionadas en la disposición adicional vigésima primera LSE entraña una diferencia de tratamiento frente a otros sujetos. Ahora bien, para valorar una posible transgresión del art. 14 CE es preciso dilucidar antes si tales sujetos constituyen un término válido de comparación respecto de las sociedades afectadas por la prestación. En este sentido, los términos de comparación propuestos por la demandante son: a) las empresas que operan en otros sectores de actividad económica; y b) las empresas del sector eléctrico que operan en otros subsectores, como el transporte, así como el resto de empresas generadoras aparte de las cinco obligadas.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comparación con las empresas de otros sectores económicos debe rechazarse a limine, toda vez que la disposición adicional vigésima primera LSE es una norma propia de la regulación del sector eléctrico que hace frente a un problema específico del mismo, como es el desajuste entre sus ingresos y gastos regulados. Tal y como hemos indicado en la STC 167/2016, FJ 3, “el margen de configuración del legislador debe comprender la posibilidad de disponer, con base en criterios técnicos, económicos y de oportunidad, qué costes se imputan al sistema eléctrico (en última instancia, a los consumidores, que deberán hacer frente a ellos, antes o después), a las empresas del sector o de un subsector en particular, y a los presupuestos generales del Estado, es decir, tomar la decisión política sobre la distribución del esfuerzo necesario para contener el déficit de tarifa”, conclusión que en tal pronunciamiento predicamos de las medidas para reducir el déficit, pero que es plenamente aplicable a la financiación del existente. No corresponde a este Tribunal valorar desde un punto de vista político o técnico el acierto de una determinada medida encaminada a reducir el déficit, como era la disposición adicional tercera del Real Decreto-ley 14/2010, o a financiar el ya producido, caso de la disposición adicional vigésima primera LSE, pero parece indiscutible que los operadores de otros sectores económicos no se hallan en una situación comparable a la de las empresas seleccionadas por la norma en cuestión, ya que estas actúan en un sector fuertemente intervenido como el eléctrico, con sujeción a un régimen definido de derechos y cargas, definido en la Ley del sector eléctrico y en la normativa de desarrollo, que no las sitúa en una posición asimilable, a los efectos que aquí importan, a la de otros ámbitos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Sugiere también Endesa, S.A., la comparación con otras empresas del sector eléctrico, ya sea la transportista (Red Eléctrica de España, S.A.), ya sean otras generadoras aparte de las cinco empresas financiadoras, aludiendo, sobre todo, a las titulares de instalaciones de régimen especial, perceptoras de primas que han contribuido al incremento del déficit, pese a lo cual han resultado excluidas de la carga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resto de empresas del sector eléctrico, como las dedicadas al transporte, debemos señalar, en primer lugar, que se trata de una actividad sometida a un régimen jurídico y económico diferente al de la producción, que constituye la principal actividad de los grupos a cuyas matrices se impone la prestación patrimonial de la disposición adicional vigésima primera LSE. Buena prueba de lo cual es que la Ley del sector eléctrico dedica un título independiente para ella (título VI “Transporte de energía eléctrica”), atendiendo a sus características diferenciales y a la necesidad de mayor regulación, dada su condición de monopolio natural, frente a la producción, subsector para el que, en contraste, se impulsa un régimen de competencia que no es posible en aquél. Por tanto, el régimen económico de las actividades de producción y de transporte no es igual, lo que impide la comparación entre los sujetos de uno y otro subsector.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concerniente al subsector de la producción eléctrica, en especial las productoras de régimen especial, se debe partir de que en la Ley del sector eléctrico, aquí aplicable, el régimen ordinario de producción, a grandes rasgos, era el correspondiente a las instalaciones de generación que emplean tecnologías convencionales, es decir, el parque tradicional de producción eléctrica en España (que corresponde, en esencia, a las cinco empresas de la disposición adicional vigésima primera LSE), mientras que, de acuerdo con el art. 27.1 LSE, el régimen especial era fundamentalmente el aplicable a las instalaciones de producción con energías renovables, generación con residuos y cogeneración. En este sentido, tanto la Abogacía del Estado como el Ministerio Fiscal sostienen que tampoco en este caso nos hallamos ante un término válido de comparación, puesto que la producción de electricidad en régimen ordinario y en régimen especial tienen una diferente ordenación en la Ley del sector eléctrico (capítulos I y II, respectivamente, del título IV), de acuerdo con criterios de política económica y medioambiental, que justifican un sistema de retribución propio para cada 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comparte dicho razonamiento, toda vez que el distinto régimen económico legalmente establecido impide considerar que ambas formas de producción se encuentren en situaciones iguales en los términos del art. 14 CE, de modo que los derechos y cargas no tienen que ser necesariamente los mismos para ambas modalidades. Dos ejemplos ilustrativos de las diferencias económicas entre ellas son el reconocimiento a las principales empresas de régimen ordinario de los llamados “pagos por capacidad”, con base en el art. 16.1 c) LSE, así como de los costes de transición a la competencia, cuya percepción, como enseguida comprobaremos, singulariza definitivamente a las empresas obligadas en virtud de la disposición adicional vigésima primera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circunstancia de que los distintos agentes del sector con los que pretende compararse la recurrente operan bajo un régimen económico diferente al suyo, se suma el hecho de que una medida como la que estamos enjuiciando debe enmarcarse en el conjunto de disposiciones aprobadas para evitar que el déficit de tarifa pusiera en riesgo la sostenibilidad del sistema eléctrico. A las numerosas medidas adoptadas con tal finalidad hemos tenido ocasión de referirnos con cierto detalle en la ya citada STC 167/2016, FJ 3, llegando a la conclusión de que se “han dispuesto ajustes para todos los sujetos implicados en el sector eléctrico, tanto las empresas de los distintos subsectores que lo integran (productoras, transportistas, distribuidoras, comercializadoras, etc.), como para los consumidores y el conjunto de los contribuyentes”, todo ello de acuerdo con la idea de esfuerzo compartido —no necesariamente idéntico—, que se puede encontrar en las exposiciones de motivos de las normas aprobadas para reducir el déficit tarifario, como los Reales Decretos-leyes 14/2010, de 23 de diciembre; 20/2012, de 13 de julio, y 9/2013, de 12 de julio,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a través de la sucesión de normas dirigidas a controlar y financiar el déficit de tarifa se han arbitrado medidas que han afectado a otros subsectores del sistema, minorando sus retribuciones (por ejemplo, para el caso del transporte, por los Reales Decretos-leyes 20/2012 y 9/2013, y para las instalaciones de generación en régimen especial, mediante los Reales Decretos-leyes 14/2010 y 9/2013); así como a los consumidores, con aumentos de tarifa, y al conjunto de los contribuyentes, imputando ciertas partidas de costes a los presupuestos generales del Estado o creando tributos específicos sobre el sector (Ley 15/2012, de 27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desprende que la aplicación de una concreta medida, como la que aquí se examina, tan solo a los grupos eléctricos dedicados principalmente a la producción de electricidad en régimen ordinario, y no a las empresas dedicadas a otras actividades eléctricas o a las productoras que utilizan de forma primordial energías renovables y otras propias del régimen especial, no introduce una diferencia entre situaciones que puedan calificarse iguales, al menos por dos razones: i) el diferente régimen jurídico y económico aplicable a cada actividad, lo que conlleva distintos derechos y cargas, siguiendo la terminología de la STC 83/2014, de 29 de mayo, FJ 3, y ii) el necesario enfoque de esta norma en el contexto de las adoptadas para contener el déficit de tarifa eléctrica, de suerte que a cada tipo de actividad se le han exigido ajustes, siendo legítimo que el legislador tenga en cuenta la diferente contribución de cada subsector para imponer solo a ciertos grupos la financiación del déficit.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existe vulneración del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núm. 354-2014 interpuesto por Endesa,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