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1256-2016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1256-2016.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9 de marzo de 2016 tuvo entrada en el registro general de este Tribunal Constitucional oficio de la Secretaría de la Sala de lo Contencioso-Administrativo del Tribunal Superior de Justicia de la Comunidad Valenciana al que acompañaba Auto de 15 de diciembre de 2015 de dicho órgano judicial por el que se había acordado plantear cuestión de inconstitucionalidad respecto de la disposición transitoria segunda del estatuto del personal de Les Corts Valencianes, aprobado por el Pleno de dicha Cámara Autonómica, en sesión celebrada el día 16 de junio de 2010, (“Diario Oficial de la Comunidad Valenciana” número 6312, de 16 de julio de 2010), que tiene por rúbrica la de “Integración en los nuevos grupos de Clasificación”, en la medida en que entendió que la disposición cuestionada podría resultar contraria a los artículos 14, 23.2 y 103.3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la confederación sindical de Comisiones Obreras del País Valenciano se interpuso recurso contencioso-administrativo contra la desestimación presunta por silencio administrativo por parte de la Mesa de las Cortes Valencianas de la solicitud formal sobre integración de funcionarios del antiguo grupo E en el nuevo grupo C2, tal como se disponía en el estatuto del personal de les Corts Valencianes de 16 de junio de 2010, con reconocimiento de efectos administrativos y económicos desde la entrada en vigor de dicha norma de acuerdo con lo establecido en la disposición transitoria segunda de la citada norma parlamentaria, pese a lo cual la Mesa de negociación de las Cortes Valencianas no había procedido a llevar a la práctica la integración de los puestos clasificados anteriormente como grupo E en la nueva clasificación prevista, ni a efectos administrativos, ni a efectos económicos, interesando se dictase sentencia por la que se declarase contrario a derecho y se anulase el acto administrativo impugnado, condenando a la demandada a llevar a efecto la integración de los funcionarios anteriormente clasificados como grupo E en el nuevo subgrupo C2, con plenos efectos administrativos y económicos desde el 22 de junio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Letrado de las Cortes Valencianas interesó la desestimación del recurso tras razonar que la nueva regulación introducida por el estatuto de personal de les Corts Valencianes no consistía en una simple alteración de la letra que acompañaba a cada puesto de trabajo, sino que suponía alterar la relación de puestos de trabajo para adaptarla a los nuevos grupos, lo que determinaba que fuera necesario el pertinente proceso negociador con las organizaciones sindicales que culminase con un acuerdo que debía ser ratificado por la Mesa de las Cortes Valencianas, sin que el acuerdo suscrito en el seno de la mesa negociadora por los sindicatos y la representación institucional supusiera la existencia de un acuerdo entre la cámara autonómica y los sindicatos, al no haberse procedido a su ratificación por la Mesa de las Cortes Valencianas. En consecuencia, entendía la representación del parlamento autonómico que no podía accederse a la pretensión de la actora consistente en que, sin intermediación de norma alguna, se produjera la modificación en la clasificación de los puestos existentes en la relación de puestos de trabajo de las Cortes Valencianas.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medio de escrito de 1 de octubre de 2015, la Confederación Sindical de Comisiones Obreras del País Valenciano desistió del recurso interpuesto, y, después de dar traslado de aquel a la parte demandada sin que se hubiese pronunciado al efecto, la Sala de lo Contencioso-Administrativo procedió, por Auto de 2 de noviembre de 2015, a acordar la continuación del recurso no otorgando eficacia extintiva al desistimiento del sindicato recurrente, en virtud de lo establecido en el art. 74.4 de la Ley reguladora de la jurisdicción contencioso-administrativa (LJCA), por entender que estaba implicado el interés público en la eventual subsistencia de la norma cuya aplicación se suscitaba (disposición transitoria segunda del estatuto del personal de Les Corts), la cual había que poner en relación con los arts. 14, 23.2 y 103.3 de la Constitución Española, por lo que, asumir el archivo del proceso, implicaría daño para el interés público, cuya tutela también resultaba encomendada a dicho órgano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de acuerdo con lo dispuesto en el art. 35.2 de la Ley Orgánica del Tribunal Constitucional (LOTC) y 5.2 LOPJ, se dejaba en suspenso el plazo para dictar sentencia y se daba traslado a las partes y al Ministerio Fiscal para que alegasen lo que estimasen oportuno sobre la pertinencia de plantear la cuestión de inconstitucionalidad. Tanto el Ministerio Fiscal como el Letrado de las Cortes Valencianas alegaron la improcedencia de plantear la cuestión de inconstitucionalidad en sus respectivos escritos de 17 y 27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sin embargo, dictó Auto de 15 de diciembre de 2015 planteando cuestión de inconstitucionalidad en relación a la disposición transitoria segunda del estatuto del personal de Les Corts denominada “integración en los nuevos grupos de Clasificación”, por resultar eventualmente contraria a los artículos 14, 23.2 y 103.3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hacer referencia al cumplimiento de los requisitos para el planteamiento de la cuestión de inconstitucionalidad, el auto procede a concretar la posible contrariedad de la disposición transitoria segunda del estatuto de personal de Les Corts Valecianes con los arts. 14, 23.2 y 103.3 CE, al establecer dicha disposición que “los grupos de clasificación existentes a la entrada en vigor del Estatuto del Personal de Les Corts Valencianes se integran de forma automática en los grupos de clasificación profesional de funcionarios previstos en el artículo 10 del mismo, de acuerdo con la siguientes equivalencias: … Antiguo grupo E: subgrupo C2”, integración automática que se ordena con abstracción de ningún otro requisito y ajeno a la consideración del nivel de titulación exigido para el ingreso en los cuerpos a poner en relación con las plazas afectadas.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razona que la decisión definitiva que haya de darse al proceso depende de la validez constitucional de la mencionada disposición transitoria segunda, pues habiendo sido pretendida la integración automática del antiguo grupo E en el subgrupo C2 con efectos inmediatos a la entrada en vigor del estatuto de personal y habiendo sido desestimada tal solicitud por silencio administrativo, era obvia la necesidad de depurar la constitucionalidad de dicha disposición, sin que se pudiesen acoger los argumentos del Letrado de las Cortes Valencianas, por no entender equiparable el pretendido trasvase argumentativo que se hace desde las previsiones del estatuto básico del empleado público (LEEP) a la disposición transitoria de referencia, toda vez que esta, a diferencia de aquel, equipara dos grupos de clasificación diferenciados (el antiguo grupo D y el antiguo grupo E) los cuales de forma adjetivada por la norma como “automática”, ordena se integren en el subgrupo C2, entendiendo que el contenido del acuerdo de la Mesa de las Cortes [“se habilitarán los procesos necesarios con estricto cumplimiento de los principios de mérito y capacidad. El personal afectado por el proceso de reconversión habrá de estar en posesión de la titulación requerida para el puesto de trabajo. En los supuestos en los que no se poseyera la titulación necesaria se quedarán los puestos de trabajo adecuados a su titulación”] evidencia la necesidad de depurar la eventual inconstitucionalidad de tal disposición transitoria.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julio de 2016, la Sección Cuarta de este Tribunal acordó, a los efectos que determina el art. 37.1 LOTC, oír al Fiscal General del Estado para que, en el plazo de diez días, alegase lo que considerase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29 de septiembre de 2016 interesando la inadmisión de la cuestión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recoger los antecedentes de hecho que consideró oportunos y de citar el precepto cuestionado y los artículos de la Constitución vulnerados, procede, a continuación, a exponer la doctrina constitucional sobre la inadmisión de la cuestión por resultar notoriamente infundada, con cita del ATC 174/2007, de 27 de febrero, STC 27/1991, de 14 de febrero, y ATC 71/2008, de 26 de febrero. Se detiene, igualmente, en el contenido de la doctrina constitucional del art. 23.2 CE, haciendo referencia a la STC 138/2000, de 29 de mayo, y, en cuanto a la regulación de la función pública, a la doctrina constitucional contenida en las STC 113/2010, de 24 de noviembre y 39/2014, de 11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analiza si, como plantea el órgano jurisdiccional, la disposición transitoria segunda establece realmente una integración automática que deba reputarse incondicionada de los antiguos cuerpos grupo D y E en el subgrupo C2 con abstracción de otros requisitos, y, en consecuencia, ajena al nivel de titulación, con vulneración de los arts. 14, 23.2 y 103.3 CE. Para ello, después de afirmar que el estatuto de personal de les Corts Valencianes responde a un régimen singular que entronca en el art. 72 CE y delimitar su ámbito de aplicación de acuerdo con lo dispuesto en el art. 3.6 de la Ley 10/2010, de 9 de julio, de la función pública de la Comunidad Valenciana y el art. 4 a) LEEP (Ley 7/2007), destaca que la norma impugnada debe integrarse en el conjunto de las disposiciones que regulan la materia de personal de la función pública con cita, a tal efecto, de los arts. 21.1, 25.1 y 50 de la Ley Orgánica 5/1982, de 1 de julio, de Estatuto de Autonomía de la Comunidad Valenciana, los arts. 1, 9, 10, 55, 62, 63 y disposición transitoria primera del estatuto de personal y los arts. 24, 51, 53 y disposiciones adicionales de la Ley de la función pública de la Comunidad Valenciana 10/2010, de 9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legislación del Estado, hace mención de los arts. 55, 56 y 76 de la Ley 7/2007, de 12 de abril, del estatuto básico del empleado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afirmando que, a la vista de la normativa citada, la disposición transitoria segunda forma parte de las disposiciones y principios de la norma en que se integra —el estatuto de personal— y por remisión de ésta, le resulta de aplicación, tanto la legislación de la función pública valenciana como la propia ley estatal —Ley 7/2007, del estatuto básico del empleado público — por lo que la norma impugnada no puede ser objeto de aplicación aisladamente, sino que ha de hacerse en el contexto legislativo del que forma parte, incorporando dicha normativa, tanto estatal como autonómica, una regulación que responde a unos principios coordinados y homogéneos, comenzando por el propio estatuto de personal. Y en todos se contemplan las condiciones de mérito y capacidad como requisitos de acceso y desempeño —y, lógicamente, de integración— de la respectiva función en el grupo o escala correspondiente, incorporando, por tanto, la necesidad de la titulación oficial como requisito básico, de acuerdo con la doctrina constitucional citada, por lo que la interpretación de los términos “de forma automática” que fundamentan casi en exclusiva la argumentación del auto de planteamiento, no puede hacerse en abstracto incondicionada y al margen de los principios de mérito y capacidad, sino con respeto al requisito de la titulación que en cada caso corresponda, porque aquellos se integran de forma sistemática y reiterada en dicha legislación y su inobservancia sería contraria a la normativa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Hace notar, por otro lado, que la cuestión de inconstitucionalidad ha sido planteada después de que la parte demandante hubiera desistido del recurso contencioso-administrativo y de que la Administración demandada no se hubiera opuesto al mismo, por lo que, si bien es cierto que el desistimiento puede no ser acordado cuando se “apreciare daño para el interés público”, y, según el Auto de planteamiento, dicho interés público se habría concretado en “la eventual subsistencia de la norma cuya aplicación se suscita”, es lo cierto que tal modo de actuación procesal se ha traducido en una forma de control general de la norma, tendente a determinar un juicio abstracto de constitucionalidad ajeno a la función prevista de los arts. 163 CE y 35 LOTC, citando al efecto la doctrina contenida en el ATC 251/2006.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lo anterior le lleva a solicitar la inadmisión de la presente cuestión de inconstitucionalidad por considerarla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la Comunidad Valenciana ha promovido cuestión de inconstitucionalidad en relación a la disposición transitoria segunda del estatuto del personal de Les Corts Valencianes, que lleva como encabezamiento de su contenido la rúbrica “integración en los nuevos grupos de Clasificación”. Dicha disposición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grupos de clasificación existentes a la entrada en vigor del Estatuto del personal de Corts Valencianes se integran de forma automática en los grupos de clasificación profesional de funcionarios previstos en el artículo 10 del mismo, de acuerdo con las siguientes equivalencias: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Antiguo grupo A: subgrupo A1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Antiguo grupo B: subgrupo A2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Antiguo grupo C: subgrupo C1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Antiguo grupo D y antiguo grupo E: subgrupo C2.”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jurisdiccional considera que la norma aludida vulnera los arts. 14, 23.2 y 103.3 CE, al acordar la integración automática del “Antiguo grupo E: subgrupo C2” con abstracción de cualquier otro requisito y sin tener en consideración el nivel de titulación exigido en el art. 9 del propio Estatuto del Personal para el ingreso en los cuerpos relacionados con las plazas afectadas. Así, el sistema general parte de la consideración de los títulos académicos como criterio taxonómico para clasificar los Cuerpos, Escalas, clases y categorías de funcionarios.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9 Grupos por nivel de titulación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cuerpos, escalas y subescalas se agrupan de la siguiente forma, según el nivel de titulación: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Grupo A. Dividido en dos subgrupos, A1 y A2: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acceso a los cuerpos o escalas de este grupo se exigirá estar en posesión del título universitario de grado o titulación equivalente. En aquellos supuestos en los que la ley exija otro título universitario será éste el que se tenga en cuenta.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Grupo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acceso a este cuerpo o escala se exigirá estar en posesión del título de técnico superior o titulación equivalente.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Grupo C. Dividido en dos subgrupos, C1 y C2, según la titulación exigida para el ingreso: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C1: posesión del título de bachiller o técnico o titulación equivalente.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C2: título de graduado en educación secundaria obligatoria o titulación equivalente.”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órgano proponente de la cuestión que la decisión definitiva que haya de darse al proceso depende de la validez constitucional de la referida disposición transitoria segunda, pues, habiéndose pretendido la integración automática del antiguo grupo E en el subgrupo C2 con efectos inmediatos a la entrada en vigor del estatuto de personal, y desestimada tal solicitud, es obvia la necesidad de depurar la constitucionalidad de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expuestas en los antecedentes, ha interesado la inadmisión de la cuestión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ATC 145/2016, de 19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por las razones que se van a exponer a continuación, puede apreciarse ya en este trámite liminar que la cuestión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que se nos plantea es si la disposición transitoria segunda del estatuto del personal de Les Corts al establecer la integración automática del antiguo grupo E en el subgrupo C2, excluye la exigencia de titulación para este subgrupo establecida en el art. 9 del estatuto de personal, y por tanto menoscaba la capacidad como requisito absoluto para el desempeño de cada puesto de trabajo concreto y niega el mérito como elemento para el acceso o nombramiento, vulnerando el principio de igualdad de todos los españoles (art. 14 CE), el derecho a acceder en condiciones de igualdad a las funciones y cargos públicos con los requisitos que señalen las leyes (art. 23.2 CE) y el precepto que establece que “la ley regulará el acceso a la función pública de acuerdo con los principios de mérito y capacidad” (art.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cuando se alega simultáneamente la vulneración de los arts. 14 y 23.2 CE, las supuestas violaciones de aquél quedan subsumidas en las más concretas de éste, salvo que la discriminación impugnada, que no es el caso en el presente supuesto, concierna a alguno de los criterios explícitamente proscritos en el art. 14 CE (por todas, STC 87/2008, de 21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con una reiterada jurisprudencia de este Tribunal, las garantías derivadas de art. 23.2 CE comprenden no sólo el acceso a la función pública sino también, aunque con distinto alcance, el desarrollo o promoción de la propia carrera administrativa (por todas, STC 87/2008, de 21 de julio, FJ 3). Así, de acuerdo con la doctrina de este Tribunal, es diferente el rigor e intensidad con que operan los principios de mérito y capacidad según se trate del inicial ingreso en la función pública o del ulterior desarrollo o promoción de la propia carrera administrativa, pues en el supuesto de provisión de puestos de trabajo entre personas que ya han accedido a la función pública y, por ende, acreditado los requisitos de mérito y capacidad, cabe tener en cuenta otros criterios distintos tendentes a lograr una mayor eficacia en la organización y prestación de los servicios públicos o a satisfacer otros bienes constitucionalmente protegidos (por todas, STC 30/2008, de 25 de febrero, FJ 5). No obstante lo anterior, ni siquiera en el supuesto de la promoción interna de quienes ya son funcionarios de carrera cabe excluir el juego de “los principios de mérito y capacidad en el acceso a la función pública”, principios que concretan y articulan el genérico juicio de igualdad en esta materia consagrado por el artículo 23.2. La promoción interna de los funcionarios a través del trabajo no puede confundirse con una patente para excluir la vigencia de estos preceptos constitucionales ni siquiera temporal y excepcionalmente, puesto que nada permite al legislador estatal o autonómico transgredir los límites que la Constitución impone a su libertad de configuración normativa y menos cuando está en juego un derecho con rango de fundamental como es la igualdad de acceso de todos los ciudadanos a las funciones públicas (art. 23.2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Recordado lo anterior, cabe subrayar que en el proceso a quo, se puso sobre la mesa una interpretación alternativa de la disposición impugnada. Así, el Letrado de Las Cortes señaló que el acuerdo de la Mesa de las Cortes de 20 de octubre de 2015 —en el que se recoge la interpretación que se hizo de la disposición impugnada en el acuerdo de la Mesa negociadora del personal de las Cortes de 2 de octubre de 2015 (acuerdo coincidente en fechas precisamente con el escrito de desistimiento de 5 de octubre de 2015 por parte del sindicato actor)—, interpretó que la integración automática del antiguo grupo E en el subgrupo C2 que se establece en la disposición transitoria segunda del estatuto del personal de Les Corts no eximía del cumplimiento de titulación requerido para este subgrupo en el art. 9 del propio estatuto de personal. En aquel acuerdo, la Mesa de Les Corts consideró que en estricto cumplimiento de los principios de mérito y capacidad el personal afectado por el proceso de reconversión habría de estar en posesión de la titulación requerida por el puesto de trabajo. En el supuesto en que no se poseyese la titulación necesaria quedará el afectado en el puesto de trabajo actual adecuado a su titulación.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interpretación de la disposición impugnada ha sido la realizada por la Fiscal General del Estado cuando considera que de la disposición transitoria segunda del estatuto del personal de Les Corts no cabría extraer el establecimiento de una exención del cumplimiento del requisito de titulación recogido en el propio estatuto de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Nos encontramos, por tanto, ante una cuestión notoriamente infundada, en el sentido que le ha dado a tal concepto la doctrina de esta Tribunal cuando se ha referido a la existencia de supuestos en los que un examen preliminar permite apreciar la falta de viabilidad de la cuestión suscitada, sin que ello signifique un juicio peyorativo sobre la duda de constitucionalidad trasladada por el órgano judicial, pues el precepto controvertido era susceptible de una interpretación alternativa que no desborda el tenor literal del precepto. La Sala podía haber acomodado por vía interpretativa el precepto aplicable con tan sólo entender que la referencia a la integración automática del antiguo grupo E en el subgrupo C2 que se establece en la disposición transitoria segunda del estatuto del personal de Les Corts no exime del cumplimiento de titulación requerido para este subgrupo en el art. 9 del propio estatuto de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finalidad de los procesos de inconstitucionalidad es la expulsión del ordenamiento jurídico de aquellas normas que se hallen en franca contradicción con la Constitución, y no la anulación de un determinado modo de interpretarlas, incluso por muy sólido que éste sea, cuando aquéllas ofrecen otras significaciones posibles; en este caso la interpretación que, a partir de los mismos elementos normativos, permite llegar a conclusiones opuestas a las que sustenta el órgano judicial proponente (ATC 180/2015, de 3 de noviembre,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1256-2016.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