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57-2018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entidad mercantil Euroinversiones Inmobiliarias Costa Sur, S.L., representada por la procuradora de los tribunales doña Blanca Berriatua Horta, con asistencia letrada de don Marcelino Gilabert García, solicita la suspensión del proceso de ejecución hipotecaria núm. 57-2018 tramitado por el Juzgado de Primera Instancia e Instrucción núm. 6 de Lorca. Lo hace por otrosí en el escrito de 27 de marzo de 2019 por el que interpone recurso de amparo contra los autos de 17 de septiembre de 2018 y 11 de febrero del año siguiente recaídos en aquel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6 de Lorca se sigue procedimiento de ejecución hipotecaria núm. 57-2018 promovido por la entidad Banco de Sabadell, S.A., frente a las sociedades Euroinversiones Inmobiliarias Costa Sur, S.L., en calidad de prestataria e hipotecante, y Penrei Inversiones, S.L., en calidad de titular del derecho uso del inmueble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Despachada ejecución por auto de 29 de mayo de 2018, las sociedades demandadas fueron requeridas y notificadas el 30 del mismo mes a través de la Sede Judicial Electrónica.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26 de julio de 2018, las sociedades demandadas formulan oposición a la ejecución despachada. Por auto de 17 de septiembre del mismo año fue inadmitida por extemporánea, tomando como fecha de notificación el 30 de mayo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ejecutada Euroinversiones Inmobiliarias Costa Sur, S.L., interpone recurso de reposición. Alega que las diligencias de notificación y requerimiento se realizaron el 15 de julio de 2018. La comunicación remitida a través de la dirección electrónica habilitada no sería más que un aviso de puesta a disposición o descarga de su contenido durante un plazo determinado. Entenderlo de otro modo vulneraría el art. 24 CE, además de los arts. 135, 152, 160, 162 de la Ley 1/2000, de 7 de enero,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desestimado por auto de 11 de febrero de 2019. El órgano judicial razona a la vista del art. 43 de la Ley 39/2015, de 1 de octubre, de procedimiento administrativo común, que la sociedad demandada contaba con diez días para acceder al contenido de la resolución y, con ello, para tenerse por notificada. En el presente caso, el 30 de mayo de 2018 la notificación estaba ya disponible. El escrito de oposición se formuló el 26 de julio y, por tanto, claramente fuera del plazo establecido en el art. 556.1 LEC (diez días desde la notificación del auto que despacha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y a un proceso con garantías y sin indefensión (art. 24.1 y 2 CE). La interpretación de la legislación procesal, realizada a partir de una ley de procedimiento administrativo, habría privado injustamente a la recurrente de su derecho a formular oposición a la ejecución hipotecaria. Tratándose de un primer emplazamiento, debió realizarse del modo tradicional (art. 273 LEC). El órgano judicial habría incumplido su obligación de asegurar, no ya la legalidad formal de los actos de comunicación, sino el cumplimiento efectivo de su finalidad constitucional. La demanda solicita por otrosí la suspensión del proceso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2019, la Sección Segunda de este Tribunal acuerda admitir a trámite el recurso y dirigir comunicación al Juzgado de Primera Instancia e Instrucción núm. 6 de Lorca, a fin de que, en el plazo de diez días, remita certificación o fotocopia adveradas de las actuaciones correspondientes a los autos de ejecución hipotecaria y emplace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acuerda formar la oportuna pieza para la tramitación del incidente de suspensión y, conforme a lo dispuesto en el art. 56 de la Ley Orgánica del Tribunal Constitucional (LOTC), concede un plazo común de tres días a la parte recurrente y al ministerio fiscal para que aleguen lo que estimen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20 de septiembre de 2019, la demandante de amparo insiste en que la ejecución se ha despachado con vulneración de su derecho a la tutela judicial efectiva. Añade que la doctrina constitucional ha accedido a suspender ejecuciones hipotecarias en otros casos y que no hacerlo en el presente conduciría a situaciones irreversibles con inevitables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30 del mismo mes, el ministerio fiscal interesa que se acuerde la anotación preventiva de la demanda en el registro de la propiedad, por más que no haya sido solicitada. Tras exponer la doctrina constitucional sobre suspensión de resoluciones impugnadas, considera que, de no adoptarse la anotación preventiva de la demanda, la tutela que el Tribunal pudiera otorgar corre el riesgo de ser incompleta; dejaría abierta la posibilidad de que la finca sea transmitida a un tercero de buena fe mientras se sustancia y resuelve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Personada en las actuaciones principales la entidad Pera Assets Designated Activity Company, el secretario de justicia de la Sala Primera, mediante diligencia de ordenación de 21 de octubre de 2019, le concede un plazo de tres días para alegar en relación con la petición de suspensión interesada por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de 28 de octubre de 2019, la entidad Pera Assets Designated Activity Company, representada por la procuradora de los tribunales, doña Blanca María Grande Pesquero, afirma que Banco Sabadell le ha cedido el crédito hipotecario y que, en virtud del régimen de sucesión procesal, las actuaciones deben continuarse con ella. Tras ello se opone a la suspensión solicitada a la vista de la doctrina constitucional, la vaguedad de la petición formulada, la mala fe procesal demostrada y el no ofrecimiento de un principio razonable de prueba ni caución o fianza razonable.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resolver sobre la procedencia de la medida cautelar instada por la parte recurrente en amparo y dirigida frente al procedimiento de ejecución hipotecaria núm. 57-2018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se configura como una medida de carácter excepcional y de aplicación restrictiva (por todos, AATC 117/2015, de 6 de julio, FJ 1, y 59/2017, de 24 de abril, FJ 1).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Debe mostrar que la ejecución del acto recurrido puede privar a la demanda de amparo de su finalidad, provocando que el restablecimiento del recurrente en el derecho constitucional vulnerado sea tardío y convirtiendo en meramente ilusorio y nominal el amparo impetrado [AATC 51/1989, de 30 de enero, 144 290/1995, de 23 de octubre, 370/1996, de 16 de diciembre, 283/1999, de 29 de noviembre, 90/2014, de 27 de marzo, FJ 1; 190/2015, de 5 de noviembre, FJ 2 a); 59/2017, de 24 de abril, 146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150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 situación,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lo reputa idóneo para evitar el perjuicio derivado de que la adquisición del bien por tercero lo haga irreivindicable. Esta ha sido la solución acogida recientemente, entre otros, en los AATC 2/2019, 178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188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192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57-2018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