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1591-2019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1591-2019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64-2018 seguido en el Juzgado de Primera Instancia e Instrucción núm. 6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12 de marzo de 2019, la entidad Penrei Inversiones, S.L., representada por la procuradora de los tribunales doña Blanca Berriatua Horta y bajo la dirección de la letrado doña Anju Nirmala Benavent Rodríguez, interpuso recurso de amparo contra los autos dictados por el Juzgado de Primera Instancia e Instrucción núm. 6 de Lorca en el procedimiento de ejecución hipotecaria núm. 64-2018 en fechas 19 de septiembre de 2018 y 22 de enero de 2019, por los que, respectivamente, se inadmite por extemporánea la oposición a la ejecución hipotecaria y se confirma esta última decisión al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6 de Lorca se sigue procedimiento de ejecución hipotecaria núm. 64-2018 promovido por la entidad Banco de Sabadell, S.A., frente a las sociedades Euroinversiones Inmobiliarias Costa Sur, S.L., en calidad de prestataria e hipotecante, y Penrei Inversiones, S.L., en calidad de titular registral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20 de junio de 2018 se acordó despachar ejecución frente a las sociedades demandadas. El citado auto y el decreto de la misma fecha fueron comunicados a las citadas entidades a través de la sede judicial electrónica el día 21 de junio de 2018. El mismo día, el servicio de notificaciones electrónicas de la Fábrica Nacional de Moneda y Timbre remitió a la demandante de amparo, a través de la dirección electrónica habilitada, una notificación del siguiente tenor: “[l]a Notificación estará disponible en su Dirección Electrónica Habilitada única desde el 21 de junio de 2018 hasta el 6 de agosto de 2018. Si no procediera a su lectura en el plazo indicado se producirán los efectos correspondientes, según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demandante presentó escrito de oposición a la ejecución despachada en fecha 27 de agosto de 2018. Por auto 19 de septiembre de 2018 se acordó su inadmisión por presentación extemporánea, al considerarse que había transcurrido el plazo de diez días previsto en el art. 695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21 de junio de 2018, sino el 27 de julio de 2018, y que la comunicación remitida a través de la dirección electrónica habilitada no puede entenderse más que como un aviso de puesta a disposición o descarga de su contenido durante un plazo determinado (en el caso desde el 21 de junio al 27 de julio de 2018). De ahí que al haber accedido a dicha comunicación el día 27 de julio de 2018, es en ese día, cuando debe entenderse efectuada la notificación. Y entenderlo de otro modo, además de infringir los arts. 135, 152, 160, 162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fue desestimado por auto de 22 de enero de 2019. Según consta en la indicada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a) de la Ley 39/2015 y 273.3 LEC. Según se afirma en la indicada resolución, “[e]n el presente caso, consta que la notificación se puso a disposición de las recurrentes en fecha 21 de junio de 2018 no accediendo al contenido hasta el 27 de julio de 2018 (fuera de los tres días que establece la normativa procesal), presentando los escritos de oposición a la ejecución en fecha 27 de agosto de 2018, claramente fuera del plazo legalmente establecido en el art. 556.1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denuncia la vulneración de su derecho a la tutela judicial efectiva sin indefensión (art. 24.1 CE), en su vertiente de acceso al proceso. Considera que la interpretación ofrecida en el auto objeto de impugnación, que se apoya en la ley de procedimiento administrativo eludiendo las garantías exigibles para las notificaciones de un proceso judicial, cercena el derecho a la tutela judicial efectiva, al privar a la recurrente del derecho a formular oposición en un proceso de ejecución hipotecaria. Aduce que siguió la literalidad de las instrucciones contenidas en un correo electrónico que recibió procedente del servicio de notificaciones electrónicas y accedió al contenido de la notificación dentro del plazo establecido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afirma que el órgano judicial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interprete, obligándole a promover la defensa mediante la correspondiente contradicción”.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octubre de 2019, la Sección Tercera de este Tribunal acordó admitir a trámite el recurso de amparo y dirigir comunicación al el Juzgado de Primera Instancia e Instrucción núm. 6 de Lorca, a fin de que, en el plazo de diez días, remitiera certificación o fotocopia adverada de las actuaciones correspondientes a los autos de ejecución hipotecaria y emplazara a quienes hubieran sido parte en el proceso del que trae causa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8 de noviembre de 2019, la parte demandante formuló sus alegaciones, en el cual reitera lo interesado en el otrosí de su demanda, con sustento en el ATC 287/2013, de 16 de diciembre, cuyo contenido parcialmente transcribe.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el 12 de noviembre del 2019. En síntesis, interesa que se acuerde la anotación preventiva de la demanda en el registro de la propiedad. Tras compendiar la doctrina constitucional relativa a la suspensión prevista en el art. 56 LOTC, sostiene que la solicitud de la medida de suspensión solo alude a la pérdida de finalidad del recurso, para el caso de que llegara a celebrarse la subasta, pero no ofrece ninguna razón que justifique esa pérdida de finalidad a que alude. Además, considera más eficaz la anotación preventiva de la demanda en el registro de la propiedad, medida mediante la cual se daría publicidad a terceros de la pendencia del recurso y se evitaría que un hipotético tercer adquirente del inmueble hipotecado quede especialmente protegido por su buena fe en la adquisición.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64-2018 seguido en el Juzgado de Primera Instancia e Instrucción núm. 6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pues la medida idónea es la anotación preventiva de la demanda en el registro de la propiedad.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el procedimiento se encuentra en la fase inicial una vez rechazada la oposición a la ejecución y que el inmueble sobre el que se sigue tal ejecución está constituido por una vivienda cuya situación posesoria no consta.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 Esta misma ha sido la solución acogida recientemente, entre otros, en los AATC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217/2012, de 26 de noviembre, FJ 2;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64-2018 seguido en el Juzgado de Primera Instancia e Instrucción núm. 6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