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3562-2019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291-2018,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junio de 2019, la entidad Euroinversiones Inmobiliarias Costa Sur, S.L., representada por la procuradora de los tribunales doña Blanca Berriatua Horta y bajo la dirección del letrado don Marcelino Gilabert García, interpuso recurso de amparo contra los autos de 21 de septiembre de 2018 y de 22 de abril de 2019, dictados por el Juzgado de Primera Instancia e Instrucción núm. 5 de Lorca, en el procedimiento de ejecución hipotecaria núm. 291-2018,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291-2018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43.290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9 de mayo de 2018 se acordó despachar ejecución frente las sociedades demandadas por la cantidad de 2.248,32 € de principal y 2.400 € presupuestados inicialmente para intereses y costas. El citado auto y el decreto de la misma fecha que le sigue fueron comunicados a las citadas sociedades a través de la sede judicial electrónica el día 11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10 de julio de 2018. Por auto de 21 de septiembre de 2018 se acordó su inadmisión por considerar la pretensión extemporánea, tomando como fecha de notificación el 11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11 de mayo de 2018, sino el 26 de junio siguiente, fecha en la que accedió a la web y procedió a su descarga, y que la comunicación remitida a través de la dirección electrónica habilitada no puede entenderse más que un aviso de puesta a disposición o descarga de su contenido durante un plazo determinado (en el caso desde el 11 de mayo hasta el 26 de junio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22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273.3 LEC. Según el auto, en el presente caso “consta que la notificación se puso a disposición de las recurrentes en fecha 11 de mayo de 2018, no accediendo al contenido hasta el día 26 de junio de 2018 (fuera de los tres días que establece la normativa procesal), presentando los escritos de oposición a la ejecución en fecha 10 de julio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66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enero de 2020 la Sección Segunda de este Tribunal acordó admitir a trámite el recurso de amparo y dirigir comunicación al Juzgado de Primera Instancia e Instrucción núm. 5 de Lorca, a fin de que, en plazo que no exceda de diez días, remitiera certificación o fotocopia adverada de las actuaciones correspondientes a los autos de ejecución hipotecaria y emplazara por el mismo plazo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3 de febrero de 2020 la parte demandante formuló sus alegaciones, reiterando lo expuesto en el otrosí de su demanda y trascribiendo como fundamento de su pretensión lo expresado en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10 de febrero de 2020, el ministerio fiscal se opuso a la pretendida suspensión del procedimiento de ejecución hipotecaria, e interesó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la petición del demandante no parece muy fundada, sostiene que acordar la suspensión comportaría la paralización del procedimiento ejecutivo, que por su propia naturaleza goza de las características de celeridad y sumariedad. Considera mucho más eficaz la anotación preventiva de la demanda en el registro de la propiedad, pues a través de dicha medida cautelar es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291-2018,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FJ 1; 147/2017, de 13 de noviembre, FJ 1, y 177/2019,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282/2014, de 17 de noviembre, FJ 4,;59/2015, de 16 de marzo, FJ 2, y 177/2019,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148/2019, 155/2019 y 156/2019, de 25 de noviembre, FFJJ 3; y 170/2019, 171/2019, 173/2019, 174/2019 y 177/2019 de 16 de diciembre, FFJJ 3),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al solicitarse el amparo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 Esta misma ha sido la solución acogida recientemente, entre otros, en los AATC 148/2019, 155/2019 y 156/2019, FFJJ 3 y 170/2019, 171/2019, 173/2019, 174/2019 y 177/2019, FFJJ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hicimos en el fundamento tercero de los mencionados autos,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291-2018,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