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julio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3560-2019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3560-2019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372-2018, seguido en el Juzgado de Primera Instancia e Instrucción núm. 5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7 de junio de 2019, la entidad Euroinversiones Inmobiliarias Costa Sur, S.L., representada por la procuradora de los tribunales doña Blanca Berriatua Horta y bajo la dirección del letrado don Marcelino Gilabert García, interpuso recurso de amparo contra los autos dictados por el Juzgado de Primera Instancia e Instrucción núm. 5 de Lorca en el procedimiento de ejecución hipotecaria núm. 372-2018, en fechas 21 de septiembre de 2018 y 23 de abril de 2019, por los que, respectivamente, se inadmite por extemporánea la oposición a la ejecución hipotecaria y se confirma esta última decisión al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5 de Lorca se sigue procedimiento de ejecución hipotecaria núm. 372-2018 promovido por la entidad Banco de Sabadell, S.A., frente a las sociedades Euroinversiones Inmobiliarias Costa Sur, S.L., en calidad de prestataria e hipotecante, y Penrei Inversiones, S.L., en calidad de titular registral de un derecho de uso y disfrute sobre el inmueble hipotecado.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8 de junio de 2018 se acordó despachar ejecución frente las sociedades demandadas. El citado auto y el decreto de la misma fecha que le sigue fueron comunicados a las citadas entidades a través de la sede judicial electrónica el día 13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entidad Euroinversiones Inmobiliarias Costa Sur, S.L., presentó escrito de oposición a la ejecución despachada con fecha 31 de julio de 2018. Por auto de 21 de septiembre de 2018 se acordó su inadmisión por presentación extemporánea tomando como fecha de notificación el 13 de junio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Alegó, en síntesis, que las actuaciones de notificación y requerimiento no habían sido realizadas el día 13 de junio de 2018 sino el 24 de julio de 2018 y que la comunicación remitida a través de la dirección electrónica habilitada no puede entenderse más que un aviso de puesta a disposición o descarga de su contenido durante un plazo determinado (en el caso desde el 13 de junio al 29 de julio de 2018) y entenderlo de otro modo, además de infringir los arts. 135, 152, 160, 162 de la Ley de enjuiciamiento civil (LEC), vulnera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Tras su tramitación, el recurso fue desestimado por auto de 23 de abril de 2019. Según esta resolución, la recurrente tiene la condición de persona jurídica y, por tanto, está obligada a relacionarse con la administración de justicia por medios electrónicos, de conformidad con lo previsto en la disposición transitoria cuarta de la Ley 42/2015, de 5 de octubre, de reforma de la Ley 1/2000, de 7 de enero, de enjuiciamiento civil, así como en los arts. 14.2 de la Ley 39/2015 y 373.3 LEC. Según el auto, “consta que la notificación se puso a disposición de las recurrentes en fecha 13 de junio de 2018 no accediendo al contenido hasta el día 24 de julio de 2018 (fuera de los tres días que establece la normativa procesal), presentando los escritos de oposición a la ejecución en fecha 31 de julio de 2018 claramente fuera del plazo legalmente establecido en el art. 556. 1 LEC (dentro de los diez días siguientes al de la notificación del auto despachando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la interpretación ofrecida en el auto objeto de impugnación, que se apoya en la Ley de procedimiento administrativo eludiendo las garantías exigibles para las notificaciones de un proceso judicial, cercena el derecho a la tutela judicial efectiva al privar a la recurrente del derecho a formular oposición en un proceso de ejecución hipotecaria. A tal fin, aduce que siguió la literalidad de las instrucciones contenidas en un correo electrónico que recibió procedente del servicio de notificaciones electrónicas, accediendo al contenido de la notificación dentro del plazo establecido en el mismo. El citado correo tiene el siguiente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recibido una notificación del órgano emisor Juzgados y Tribunales (SGAJ) en la Dirección Electrónica Habilitada del titular Penrei Inversiones, S.L. — NIF B73836173.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Notificación estará disponible en su Dirección Electrónica Habilitada única desde el 13-06-2018 hasta el 29-07-2018. Si no procediera a su lectura en el plazo indicado se producirán los efectos correspondientes, según la normativa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que conste como leída, por favor acceda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http://notificaciones060.es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Asunto: ‘JDO. 1 INST. E INSTR. N 3 DE LORCA EHJ/000000102/2018’”.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la entidad recurrente afirmando que las resoluciones impugnadas no han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solo dirigido al legislador, sino también al interprete, obligándole a promover la defensa mediante la correspondiente contradicción”.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del procedimiento de ejecución hipotecaria alegando que la continuación de la ejecución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15 de junio de 2020 la Sección Primera de este tribunal acordó admitir a trámite el recurso de amparo y dirigir comunicación al Juzgado de Primera Instancia e Instrucción núm. 5 de Lorca, a fin de que, en el plazo de diez días, remitiera certificación o fotocopia adverada de las actuaciones correspondientes a los autos de ejecución hipotecaria y emplazara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22 de junio de 2020 la parte demandante formuló sus alegaciones, reiterando lo dicho en el otrosí de su demanda y trascribiendo parte del ATC 21/2018, de 5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registrado el 29 de junio de 2020, interesa que se acuerde la anotación preventiva de la demanda en el registro de la propiedad, aunque esta última medida no haya sido solicitada en el recurso de amparo. Tras exponer la doctrina de este tribunal sobre suspensión de resoluciones y actos impugnados, aduce que en el presente caso la suspensión no aparece muy fundamentada por la propia parte recurrente, resultando más eficaz la anotación preventiva de la demanda en el registro de la propiedad mediante la que se evitaría que un hipotético tercer adquirente del inmueble hipotecado quede especialmente protegido.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372-2018 seguido en el Juzgado de Primera Instancia e Instrucción núm. 5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de 10 de febrero,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aquellos,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de acuerdo con el Ministerio Fiscal, que resulta improcedente la suspensión solicitada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tales circunstancias, no es posible afirmar que la continuación del curso del procedimiento judicial, incluso con un desplazamiento posesorio, provoque por sí sola un perjuicio determinante de la perdida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106/2017, de 17 de julio; 88/2018, de 17 de septiembre, y 2/2019, de 9 de enero. Últimamente, en relación con recursos que se han dictado en el mismo sentido, entre otros, los AATC 7/2020, de 27 de enero, y 26/2020, de 24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372-2018, seguido en el Juzgado de Primera Instancia e Instrucción núm. 5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julio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