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24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10487-2006, planteada por el Juzgado de lo Penal núm. 2 de Valladolid, respecto al primer inciso del art. 153.1 del Código penal en la redacción dada al mismo por el art. 37 de la Ley Orgánica 1/2004, de 28 de diciembre, de medidas de protección integral contra la violencia de género. Han comparecido el Abogado del Estado y el Fiscal General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noviembre de 2006 tiene entrada en el Registro General de este Tribunal un escrito del Juzgado de lo Penal núm. 2 de Valladolid al que se acompaña, junto al testimonio del correspondiente procedimiento (juicio rápido 336-2006), el Auto del referido Juzgado de 19 de octubre de 2006 en el que se acuerda plantear cuestión de inconstitucionalidad respecto al primer inciso del art. 153.1 del Código penal por su posible contradicción con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procedimiento reseñado se celebró el juicio oral, y tras el mismo, se acordó oír a las partes y al Ministerio Fiscal, por el plazo común e improrrogable de diez días, para que pudieran alegar sobre la pertinencia de plantear cuestión de inconstitucionalidad respecto al art. 153.1 CP por posible vulneración del principio de igualdad (art. 14 CE). A tal planteamiento se opuso el Ministerio Fiscal y la denunciante, y a la vez denunciada. El denunciante, y a su vez denunciado, considera que el precepto aplicable es inconstitucional en cuanto que vulnera 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 los Autos de cuestionamiento que el primer inciso del art. 153.1 CP “colisiona frontalmente contra el principio de igualdad consagrado en el art. 14 CE”. Interpreta la Magistrada, a partir de la dicción del art. 1.1 de la Ley Orgánica 1/2004, de 28 de diciembre, de medidas de protección integral contra la violencia de género, que la agravación se fundamenta exclusivamente en el sexo de los sujetos del delito, ciñendo el ámbito del sujeto activo al hombre y del sujeto pasivo a la mujer”. La norma penal, con su tratamiento punitivo diferente, “no supone una acción positiva sino una discriminación negativa hacia el hombre” carente de justificación por parte del legislador, que “exige requisitos para su especial protección a otros grupos de familiares que sí precisan de atención preferente (ancianos o niños) que en ningún caso se precisan para la especial punición cuando la víctima es una mujer (convivencia y acreditación de su especial vulnerabilidad)”. Considera así que “puede estimarse que el legislador ha establecido una presunción, iuris et de iure, de que la mujer es en cualquier caso ‘persona especialmente vulnerable’ … en clara oposición a la dignidad de la mujer, con vulneración de los dispuesto en el art. 10.1 CE”. </w:t>
      </w:r>
    </w:p>
    <w:p w:rsidRPr="00C21FFE" w:rsidR="00F31FAF" w:rsidRDefault="00356547">
      <w:pPr>
        <w:rPr/>
      </w:pPr>
      <w:r w:rsidRPr="&lt;w:rPr xmlns:w=&quot;http://schemas.openxmlformats.org/wordprocessingml/2006/main&quot;&gt;&lt;w:lang w:val=&quot;es-ES_tradnl&quot; /&gt;&lt;/w:rPr&gt;">
        <w:rPr/>
        <w:t xml:space="preserve">Entienden, en fin, los Autos que quedaría eliminada la duda de constitucionalidad de la norma con “la simple eliminación de la referencia al sexo de los sujetos como criterio cualificativo de la agravación … y manteniendo como víctimas objeto de especial protección aquellas que sean especialmente vulnerables, con la correlativa imposición de la carga probatoria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acuerda, mediante providencia de 16 de enero de 2007, admitir a trámite la cuestión que sobre la constitucionalidad del art. 153.1 CP ha planteado el Juzgado de lo Penal núm. 2 de Valladolid,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 misma resolución se acuerda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29 de enero de 2007, el Presidente del Congreso de los Diputados comunica el Acuerdo de la Mesa de la Cámara de personación en el procedimiento y de ofrecimiento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comunica, en su escrito de 30 de enero de 2007, que la Mesa de la Cámara ha acordado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el procedimiento en nombre del Gobierno, solicitando en su escrito de alegaciones, de 25 de enero de 2007, la desestimación la cuestión. </w:t>
      </w:r>
    </w:p>
    <w:p w:rsidRPr="00C21FFE" w:rsidR="00F31FAF" w:rsidRDefault="00356547">
      <w:pPr>
        <w:rPr/>
      </w:pPr>
      <w:r w:rsidRPr="&lt;w:rPr xmlns:w=&quot;http://schemas.openxmlformats.org/wordprocessingml/2006/main&quot;&gt;&lt;w:lang w:val=&quot;es-ES_tradnl&quot; /&gt;&lt;/w:rPr&gt;">
        <w:rPr/>
        <w:t xml:space="preserve">En relación con el cuestionamiento del art. 153.1 CP desde el art. 14 CE entiende que, “aunque el precepto se inspira esencialmente en la protección de la mujer en el ámbito del matrimonio o relación afín, no es reconducible al esquema simplista que propone el Auto, colocando en exclusividad a los sexos en el lado activo o en el pasivo del delito. Sólo la fragmentación —en definitiva mutilación— del texto puede llevar a tal consecuencia”. Así, el precepto incluye también como sujeto pasivo a las personas especialmente vulnerables, que pueden serlo de cualquier sexo, sin que la persona que comete esta agresión contra el vulnerable pueda tampoco identificarse por el sexo. “Acaso no sea difícil comprender también que una interpertación conjunta de esos dos términos permite una interacción recíproca entre ambos. Así, la especial vulnerabilidad, alineada con la condición femenina no parece que se haya de limitar a personas impedidas o indefensas, sino a cualesquiera que por cualquier causa, incluso ocasional, permita apreciar una mayor vulnerabilidad relativa con el agresor. Y a la inversa, estimar que no siempre la condición femenina arrastra fatalmente ese rasgo de vulnerabilidad que en última instancia justifica la inspiración protectora del precepto. Lo que la ley penal persigue evitar —según la exposición de motivos de la Ley Orgánica 1/2004— es esa actuación discriminatoria frente a las mujeres por el hecho de serlo”. </w:t>
      </w:r>
    </w:p>
    <w:p w:rsidRPr="00C21FFE" w:rsidR="00F31FAF" w:rsidRDefault="00356547">
      <w:pPr>
        <w:rPr/>
      </w:pPr>
      <w:r w:rsidRPr="&lt;w:rPr xmlns:w=&quot;http://schemas.openxmlformats.org/wordprocessingml/2006/main&quot;&gt;&lt;w:lang w:val=&quot;es-ES_tradnl&quot; /&gt;&lt;/w:rPr&gt;">
        <w:rPr/>
        <w:t xml:space="preserve">El art. 10 CE “aparece aludido en el Auto” de un modo “marginal y accesorio”. Apunta el Abogado del Estado que, en todo caso, “ni el legislador menosprecia a la mujer por considerarla más vulnerable, ni envilece al sexo masculino, tachándolo de maltratador u opresor de la mujer. El legislador diseña un tipo de delito en la forma que mejor corresponde a la realidad sociológica que el propio Auto reconoce y lamenta”.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1 de febrero de 2007, el Fiscal General del Estado concluye que la norma cuestionada no vulnera el ordenamiento constitucional. Para la argumentación de esta conclusión se remite a lo ya alegado en la cuestión de inconstitucionalidad 5939-2005, del Juzgado de lo Penal núm. 4 de Murcia. Un resumen de tales alegaciones se incluye en el fundamento jurídico 5 de la STC 59/2008, de 14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julio de 2008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Las presentes cuestiones de inconstitucionalidad coinciden plenamente en su contenido con las planteadas por la misma Magistrada-Juez como titular del Juzgado de lo Penal núm. 1 de Valladolid. Estas últimas cuestiones fueron resueltas en sentido</w:t>
      </w:r>
    </w:p>
    <w:p w:rsidRPr="00C21FFE" w:rsidR="00F31FAF" w:rsidRDefault="00356547">
      <w:pPr>
        <w:rPr/>
      </w:pPr>
      <w:r w:rsidRPr="&lt;w:rPr xmlns:w=&quot;http://schemas.openxmlformats.org/wordprocessingml/2006/main&quot;&gt;&lt;w:lang w:val=&quot;es-ES_tradnl&quot; /&gt;&lt;/w:rPr&gt;">
        <w:rPr/>
        <w:t xml:space="preserve">desestimatorio por la Sentencia del Pleno de este Tribunal 76/2008, de 3 de julio (cuestiones 6618-2005 y acumuladas), que se remitía en lo esencial a la doctrina establecida por la STC 59/2008, de 14 de mayo. Procede, en consecuencia, que dictemos un</w:t>
      </w:r>
    </w:p>
    <w:p w:rsidRPr="00C21FFE" w:rsidR="00F31FAF" w:rsidRDefault="00356547">
      <w:pPr>
        <w:rPr/>
      </w:pPr>
      <w:r w:rsidRPr="&lt;w:rPr xmlns:w=&quot;http://schemas.openxmlformats.org/wordprocessingml/2006/main&quot;&gt;&lt;w:lang w:val=&quot;es-ES_tradnl&quot; /&gt;&lt;/w:rPr&gt;">
        <w:rPr/>
        <w:t xml:space="preserve">nuevo fallo desestimatorio de las cuestiones planteadas ahora por el Juzgado de lo Penal núm. 2 de Valladolid, y que nos remitamos para su fundamentación a la de la citada STC 76/2008, de 3 de julio.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10487-2006.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24 de julio de 2008, dictada en la cuestión de inconstitucionalidad núm. 10487-2006, planteada por el Juzgado de lo Penal núm. 2 de Valladolid, respecto al primer inciso del art. 153.1 del Código penal en la redacción dada al mismo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24 de julio de 2008, dictada en la cuestión de inconstitucionalidad núm. 10487-2006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del Pleno que resuelve la cuestión de inconstitucionalidad núm. 10487-2006,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se remite 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24 de julio de 2008 dictada en la cuestión de inconstitucionalidad núm. 10487-2006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Juzgado de lo Penal núm. 2 de Valladolid ,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FJ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10487-2006,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