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473/85, interpuesto por la «Sociedad Metalúrgica Duro Felguera, Sociedad Anónima», representada por el Procurador don Juan Corujo López-Villamil y dirigida por el Letrado don Isidro Infante Olarte, contra Auto de la Sala Primera del Tribunal Supremo de 24 de abril de 1985 recaído cn el recurso de casación interpuesto contra Sentencia de la Sala de lo Civil de la Audiencia Territorial de Bilbao de 30 de junio de 1984. Han sido parte el Ministerio Fiscal así como la «Fundación Faustino Orbegozo Eizaguirre» y «Dolomitas Uror, Sociedad Anónima», representadas por el Procurador don Federico José Olivares Santiago.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24 de mayo de 1985, el Procurador don Juan Corujo López-Villamil, en nombre de la «Sociedad Metalúrgica Duro Felguera, Sociedad Anónima», interpuso recurso de amparo contra el Auto de la Sala Primera del Tribunal Supremo de fecha 24 de abril de 1985, que inadmite recurso de casación contra Sentencia de la Audiencia Territorial de Bilbao, Sala de lo Civil, de 30 de junio de 1984, fundamentando la demanda de amparo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Juzgado de Primera Instancia núm. 2 de Bilbao condenó en su día, a instancia de la Sociedad hoy recurrente, a la «Fundación Faustino Orbegozo Eizaguirre» y a «Dolomitas Uror, Sociedad Anónima», al pago de 34.890.189 pesetas a aquélla, por incumplimiento de contrato. Promovido recurso de apelación, la Audiencia Territorial de Bilbao, por Sentencia de 30 de junio de 1984, redujo el importe de la responsabilidad pecuniaria, obligando a realizar determinadas obras a costa de ambas partes. Contra esta Sentencia preparó la Entidad solicitante de amparo recurso de casación en el mes de julio de 1984, siendo emplazada ante el Tribunal Supremo el 12 de septiembre del mismo año. Formalizado el recurso de casación, el Ministerio Fiscal se opuso a su admisión por haber sido interpuesto conforme a la Ley de Enjuiciamiento Civil (LEC) reformada por la Ley 34/1984, de 6 de agosto, y celebrada la correspondiente vista, la Sala Primera del Tribunal Supremo acordó, en el Auto ahora recurrido, no haber lugar al recurso de casación interpuesto, puesto que debió formalizarse conforme al texto de la LEC vigente en el momento de su preparación, es decir, el anterior a la reforma operada por la mencionada Ley 34/1984, siendo así que el recurso incidía en la causa de inadmisión prevista en el art. 1.729, 4.°, en relación con el art. 1.720 de la LEC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la resolución judicial que impugna le ha privado de su derecho a la jurisdicción, en infracción de lo dispuesto en el art. 24.1 de la Constitución Española, en virtud de una causa de inadmisión inaplicable, ya que el recurso de casación se formalizó, como debía hacerse, de acuerdo con el texto de la LEC innovado por la Ley 34/1984, que introduce una simplificación técnica a favor del recurrente, y así se desprende de lo que establece la Disposición transitoria segunda de dicha Ley, que viene a reproducir el texto del art. 4 del Real Decreto de 3 de febrero de 1881, dictado con motivo de otra reforma de la Ley de Juicios. </w:t>
      </w:r>
    </w:p>
    <w:p w:rsidRPr="00C21FFE" w:rsidR="00F31FAF" w:rsidRDefault="00356547">
      <w:pPr>
        <w:rPr/>
      </w:pPr>
      <w:r w:rsidRPr="&lt;w:rPr xmlns:w=&quot;http://schemas.openxmlformats.org/wordprocessingml/2006/main&quot;&gt;&lt;w:lang w:val=&quot;es-ES_tradnl&quot; /&gt;&lt;/w:rPr&gt;">
        <w:rPr/>
        <w:t xml:space="preserve">Solicita, por tanto, de este Tribunal que declare la nulidad del referido Auto de 24 de abril de 1985 y reconozca su derecho a interponer recurso de casación con arreglo a la Ley de 6 de agosto de 1984. Asimismo solicita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1985, la Sección Cuarta de este Tribunal otorgó al solicitante de amparo y al Ministerio Fiscal un plazo de diez días para alegaciones, en relación con la posible concurrencia del motivo de inadmisión de la demanda de amparo, consistente en carecer ésta manifiestamente de contenido que justifique una decisión por parte del Tribunal Constitucional [art. 50.2 b),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Recibidas las alegaciones de ambas partes, que manifestaron su discrepancia sobre la concurrencia de la señalada causa de inadmisión, la Sección acordó, con fecha 2 de octubre de 1985, admitir a trámite la demanda de amparo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Federico José Olivares Santiago, en nombre de «Fundación Faustino Orbegozo Eizaguirre» y «Dolomitas Uror, Sociedad Anónima», como parte recurrida, la Sección, por providencia de 4 de diciembre de 1985, acordó dar vista de aquéllas al Ministerio Fiscal y a los representantes de las partes personadas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17 de diciembre de 1985, el Ministerio Fiscal solicitó la acumulación del presente recurso de amparo con el recurso núm. 246/85, referido a un supuesto sustancialmente igual. </w:t>
      </w:r>
    </w:p>
    <w:p w:rsidRPr="00C21FFE" w:rsidR="00F31FAF" w:rsidRDefault="00356547">
      <w:pPr>
        <w:rPr/>
      </w:pPr>
      <w:r w:rsidRPr="&lt;w:rPr xmlns:w=&quot;http://schemas.openxmlformats.org/wordprocessingml/2006/main&quot;&gt;&lt;w:lang w:val=&quot;es-ES_tradnl&quot; /&gt;&lt;/w:rPr&gt;">
        <w:rPr/>
        <w:t xml:space="preserve">La Sección acordó seguidamente dar traslado de dicho escrito a las partes comparecidas para que se pronunciasen sobre dicha petición del Ministerio Fiscal, manifestando la recurrente no tener inconveniente alguno en la acumulación. </w:t>
      </w:r>
    </w:p>
    <w:p w:rsidRPr="00C21FFE" w:rsidR="00F31FAF" w:rsidRDefault="00356547">
      <w:pPr>
        <w:rPr/>
      </w:pPr>
      <w:r w:rsidRPr="&lt;w:rPr xmlns:w=&quot;http://schemas.openxmlformats.org/wordprocessingml/2006/main&quot;&gt;&lt;w:lang w:val=&quot;es-ES_tradnl&quot; /&gt;&lt;/w:rPr&gt;">
        <w:rPr/>
        <w:t xml:space="preserve">Por Auto de 19 de febrero de 1986, la Sección acordó no haber lugar a la acumulación solicitada, dado que ambos recursos versan sobre resoluciones distintas, recaídas en procesos distintos y seguidos entre partes distintas, sin otro elemento común que plantear análogo problema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evacuar sus alegaciones, la representación de la Sociedad recurrente manifiesta que el recurso de casación interpuesto conforme a la Ley 34/1984, cuando ésta había entrado ya en vigor, debió ser admitido, de acuerdo con lo que establece la Disposición transitoria segunda de la misma Ley y que es errónea la interpretación realizada por el Tribunal Supremo exigiendo la formalización del recurso conforme al texto de la LEC vigente en el momento de su preparación, ya que la preparación del recurso de casación no inicia la instancia impugnativa, sino que es un mero acto de trámite, que ni siquiera crea la obligación de cumplir la intención de recurrir que mediante el mismo se expresa. De ahí que, por imperativo de aquella Disposición transitoria, los recursos que se interpongan, no que se preparen, desde la entrada en vigor de la nueva LEC han de acomodarse a las exigencias de ésta, como hizo la recurrente, siendo así que su recurso de casación responde a los fines de la casación civil, como se deduce del enunciado de los motivos e infracciones en que se funda. A este respecto es aplicable la doctrina del Tribunal Constitucional, según la que la interpretación de las normas procesales ha de ser conforme a la Constitución y realizarse en el sentido más favorable para la efectividad del derecho fundamental reconocido por el art. 24 de la Constitución Española, siendo el recurso de casación uno de los instrumentos para ejercitar aquel derecho, que no puede ser comprometido mediante la imposición de formalismos enervantes o de obstáculos que puedan estimarse excesivos o bien acudiendo a interpretaciones contrarias al espíritu o finalidad de la norma. Por todo ello reitera la solicitud de que se reconozca su derecho a interponer el recurso de casación con arreglo a la Ley de 6 de agosto de 1984, e incluso si fuera necesario, supliendo algún defecto de carácter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Mientras tanto se tramitó la pieza separada de suspensión de la resolución recurrida, a la que se opusieron el Ministerio Fiscal y la representación de la parte codemandada. Por Auto de 19 de febrero de 1986, la Sala Segunda de este Tribunal acordó acceder a la suspensión del Auto de la Sala Primera del Tribunal Supremo impugnado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abril de 1986, la Sección acordó que el presente recurso quedase pendiente de señalamiento hasta la resolución por el Pleno de este Tribunal del recurso número 121/85, de contenido análogo a aquél. Recaída en dicho recurso Sentencia de 20 de junio de 1986, señaló para deliberación y votación del que ahora se resuelve el día 22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 igualmente el Ministerio Fiscal, que se opone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artículo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de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recurso de casación inadmitido se interpuso contra una Sentencia dictada por la Audiencia Territorial de Bilbao en un juicio declarativo ordinario de mayor cuantía. El recurso se fundó en diferentes motivos, que la entidad recurrente articuló en varios apartados, deducidos bien al amparo del núm. 5 del art. 1.692 de la Ley de Enjuiciamiento Civil por supuesta infracción de determinadas normas del ordenamiento jurídico, que son todas ellas preceptos del Código Civil y de la Ley de Enjuiciamiento Civil, o bien al amparo del núm. 4 del mismo artículo de la Ley Procesal, por error en la apreciación de la prueba basado en documentos obrantes en autos, si bien no se justifica su carácter de auténticos. Cierto es que en alguno de los motivos del recurso se alude conjuntamente a uno y otro apartado del art.  1.692 de la Ley de Enjuiciamiento Civil y que en algunos de aquellos que se amparan en la infracción de normas jurídicas se incluye la alegación de incongruencia de la Sentencia recurrida, lo que en el texto de la Ley de Enjuiciamiento Civil anterior a la Ley 34/1984, constituía un motivo distinto de casación.  Corresponde al Tribunal Supremo decidir si estas circunstancias privan al escrito de interposición de la cualificada precisión y claridad que debe reunir de acuerdo con la normativa procesal aplicable. Sin embargo, el Auto recurrido no fundamenta en éstos o semejantes extremos la inadmisión del recurso, sino tan sólo en el incumplimiento de lo dispuesto en el art.  1.729.4.°, en relación con el art. 1.720, ambos de la Ley de Enjuiciamiento Civil anterior a la reforma de 6 de agosto de 1984. Exigen estos preceptos que en el escrito interponiendo el recurso de casación se cite con precisión y claridad la ley o doctrina legal que se crea infringida, lo que la recurrente realizó cumplidamente, y el concepto en que lo hayan sido, lo que, o bien se señala expresamente en algún motivo, o bien se deduce, respecto a otros, de la fundamentación correspondiente.  Resta, por consiguiente, inadecuada en el escrito de interposición, sin perjuicio ha de repetirse, de otros defectos parciales relativos a unos u otros de los distintos motivos, la mención del apartado del art. 1.692 de la Ley de Enjuiciamiento Civil en que aquellos se hallan comprendidos, que también exige el citado art. 1.720, y ello no porque tal apartado no se señale, sino porque se cita según los ordinales del art.  1.692 correspondientes a la Ley de Enjuiciamiento Civil posterior a la reforma de 1984, en vez de citarlos según los ordinales correlativos del texto de la Ley de Enjuiciamiento Civil anterior a la reforma. Pero no puede estimarse que esta simple deficiencia indujera a confusión al propio Tribunal Supremo ni a la dirección letrada de la contraparte, tratándose de un error fácilmente advertible y, en su caso, reparable. Por ello, como concluye la meritada Sentencia de 20 de junio de 1986,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Metalúrgica Duro Felguera, Sociedad Anónima»,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24 de abril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1.530/84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