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 de junio de 1986 tuvo entrada en este Tribunal Constitucional la demanda de amparo interpuesta por don Angel Llaneza Zapico, representado por el Procurador don Francisco Guinea Gauna, contra el Auto del Juzgado de Instrucción número 11 de Valencia de 22 de marzo de 1986, la providencia del mismo Juzgado de 27 de marzo de 1986, y Autos de la Audiencia Provincial de Valencia de 8 de mayo y 16 de mayo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es querellante en las diligencias previas núm. 404/86 que se tramitan ante el Juzgado de Instrucción núm. 11 de Valencia y en las que se imputa al representante del Banco Hispano-Americano, la comisión de un delito de falsedad en documento público y mercantil. En dichas actuaciones se dictó el Auto de 22 de marzo de 1986 por el que se dispone el archivo de las mismas. El Auto fue notificado el 25 de marzo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dicho Auto el recurrente interpuso recurso de apelación que fue inadmitido a trámite por el Juzgado de Instrucción mediante providencia de 27 de marzo de 1986, notificada el mismo día, en razón de no haberse interpuesto previamente recurso de reforma de la manera que lo establece el art. 787.4.º L.E.Cr. El recurrente interpuso entonces recurso de queja que la Audiencia Provincial de Valencia desestimó mediante Auto de 8 de mayo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dicha resolución el demandante de amparo dedujo recurso de súplica que fue inadmitido a trámite por improcedente por el Auto de la Audiencia de 16 de mayo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 alega la violación de su derecho a un proceso con todas las garantías (art. 24.2 C.E.) porque no se le notificó el Auto de 22 de marzo, que ordenó el archivo de las actuaciones, de acuerdo con lo establecido en el art. 248.4 LOPJ, ya que no se le hizo saber qué recursos procedían contra dicho Auto. Asimismo habrían resultado vulnerados por idéntico hecho los arts. 24.2 C. E., en cuanto se acuerda el derecho de defensa en juicio y el 9.3 C. E. pues el Juzgado no habría obrado observando la ley, lo que importa también la violación de los arts. 9.1 y 117.1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 de octubre de 1986 la Sección acordó conceder al demandante y al Ministerio Fiscal un plazo de diez días para que aleguen dentro del mismo lo que estimen pertinente respecto del motivo de inadmisión previsto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estimó que la presente demanda incurre en el motivo de inadmisión del art. 50.2 b) de la LOTC. Entiende en este sentido que «las consecuencias que el solicitante de amparo quiere anudar al defecto formal del órgano judicial quedan sin justificación, puesto que la no interposición del recurso, que le abría el acceso al recurso de apelación, ha sido debido a la falta de actividad procesal del mismo ya que el defecto procesal fue subsanado por el órgano judicial, dentro del plazo preciso, para que dicha subsanación produjera sus 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recurrente estima que al no habérsele hecho saber cuál era el recurso que debía interponer no habría ninguna razón para inadmitir su apelación por haberla deducido sin previa interposición del recurso de reforma. Reitera, por lo demás su invocación del art. 240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Aunque el recurrente invoca como infringidos, además del art. 24, los arts. 9.3, 9.1 y 117.1 de la Constitución, sólo el primero de los citados puede ser tomado en consideración en el presente recurso, ya que los demás no reconocen derechos susceptibles de amparo de acuerdo con lo dispuesto en los arts. 41 y 50.2 a) de la LOTC.  Respecto al art. 24 el recurrente entiende que ha sido vulnerado el derecho a la tutela judicial efectiva sin que en ningún caso pueda producirse indefensión y el derecho a un proceso con todas las garantías. La vulneración sería debida, fundamentalmente, a que al notificársele el Auto de 22 de marzo del Juzgado de Instrucción no se indicó los recursos que procedían contra él, órgano ante el que debería interponerse y plazo para ello, siguiendo lo preceptuado por el art. 248.4 de la LOPJ. Pero si bien estas omisiones son ciertas hay que tener en cuenta que el mismo Juzgado, en la providencia por la que se inadmitió el recurso de apelación, señaló como motivo de la inadmisión no haberse interpuesto el preceptivo recurso de reforma dentro de los tres días siguientes a la notificación. Y dado que el Auto fue notificado el 25 de marzo de 1986, y la providencia lo fue el día 27 del mismo mes y año (el mismo día en que se presentó el recurso), es claro que el mismo órgano judicial que incurrió en la omisión la reparó y en plazo suficiente para que el recurrente presentase el recurso de reforma, por lo que no existió la indefensión alegada.  A lo que hay que añadir que, como ya ha declarado este Tribunal (STC 145/1986, de 24 de noviembre), la simple omisión de los recursos procedentes contra una resolución no acarrea automáticamente indefensión con la grave consecuencia de anular la resolución dictada sino que en cada caso concreto habrá que valorar si se produjo tal indefensión. En el caso presente, contando el recurrente con asistencia letrada y estando los recursos utilizables contra el Auto impugnado clara y expresamente indicados en la Ley de Enjuiciamiento Criminal, nada se oponía a que interpusieran esos recursos ya que, como dice la mencionada sentencia, la omisión «no le vinculaba ni era obstáculo para que pudiera recurrir y fuera admitido el recurso (en este caso de reforma)».  Por otra parte, pudo también solicitar del Juez la oportuna aclaración sobre los recursos utilizables.  En cuanto al Auto de la Audiencia que desestimó el recurso de queja, hay que señalar que lo hizo en forma motivada, basándose en los argumentos antes expuestos referentes a la reparación del defecto por el propio órgano judicial que incurrió en él, de forma que el recurrente obtuvo una decisión fundada en Derecho, aunque no favorable a su pretensión. Lo mismo puede decirse respecto al Auto que inadmitió el recurso de reforma. De todo lo cual resulta que concurre en el presente recurso el motivo de inadmisión señalado en nuestra providencia de 2 de octubre de 1986, consistente en carecer la demanda manifiestamente de contenido que justifique una decisión (entiéndase por Sentencia) por parte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