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enero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1549-1987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1.549/1987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sin que haya lugar a pronunciarse sobre la solicitud de suspensión interesada.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26 de noviembre de 1987, el Procurador don Carlos Ibáñez de la Cardiniere, en nombre del municipio de Dalías, interpuso recurso de amparo contra Sentencia de la Sala Cuarta del Tribunal Supremo dictada el 10 de octubre de 1987. en el recurso núm. 115/1986.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las siguientes alegaciones de hecho: El municipio de Dalías (Almería) ha tenido históricamente su capitalidad en el núcleo urbano de Dalías, comprendiendo dentro de su territorio otros núcleos de población, entre ellos El Ejido. En 1981 la Junta de Andalucía trasladó la capitalidad del municipio a El Ejido. En 1982 el Consejo de Ministros acordó dividir el municipio en dos nuevos e independientes, uno el de Dalías y otro el de El Ejido, con sus respectivas capitalidades del mismo nombre. Por orden de 21 de marzo de 1983, el Ministerio de Justicia dispuso que el Juzgado de Paz de Dalías tomará la denominación de El Ejido y trasladará su sede a esta localidad, creándose un nuevo Juzgado de Paz con la denominación y capitalidad en Dalías. El municipio de El Ejido solicitó entonces que se dispusiera el traslado del Registro Civil de Dalías a la capitalidad de aquél, lo que fue desestimado por Orden de 30 de noviembre de 1983. Contra esta resolución interpuso el municipio de El Ejido recurso contencioso-administrativo, que fue desestimado por Sentencia de la Audiencia Nacional de 8 de noviembre de 1985. Impugnada ésta, fue revocada parcialmente por la Sentencia de la Sala Cuarta del Tribunal Supremo ahora recurrida, que ordenó el traslado al Juzgado de Paz de El Ejido del archivo y antecedentes del Registro Civil del antiguo Juzgado de Paz de Dalías.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la parte actora a este recurso de amparo que dicha Sentencia del Tribunal Supremo infringe el derecho a la igualdad jurídica reconocido en el art. 14 de la C.E., que ampara a las personas físicas y jurídicas, puesto que, como se probará oportunamente, ha resuelto la cuestión litigiosa en un sentido distinto a lo que ha ocurrido en numerosos casos iguales, en los que el Registro Civil del municipio originario ha permanecido en éste, mientras que el nuevo municipio creado por la segregación se le dotaba de un nuevo Registro Civil a partir del momento de su creación. Se solicita por ello que se anule la Sentencia impugnada y se reconozca el derecho del recurrente a mantener el archivo, antecedentes y actuaciones del Registro Civil del originario Municipio de Dalias, se le restablezca en su derecho a la igualdad jurídica y se retrotraigan las actuaciones procesales al momento anterior a dictarse Sentencia, para que se dicte una resolución definitiva con arreglo a Derecho. Se solicita además el recibimiento a prueba y que se suspenda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9 de diciembre de 1987, la Sección acordó conceder un plazo común de diez días al recurrente y al Ministerio Fiscal para alegaciones sobre la posible concurrencia del motivo de inadmisión del recurso de amparo consistente en carecer la demanda manifiestamente de contenido que justifique una decisión por parte de este Tribunal, a que se refiere el art. 50.2 b) de su Ley Orgánica, disponiendo que, una vez resuelto sobre la admisión o inadmisión, se acordará lo procedente en cuanto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parte recurrente reitera, en resumen, los argumentos de la demanda, señalando que no cabe afirmar que la demanda carece de contenido constitucional y, menos aún, manifiestamente, aparte de que las causas de inadmisibilidad de los recursos deben aplicarse estricta y rigurosamente.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sostiene que la parte demandante de amparo no ofrece un término de comparación que permita deducir la supuesta discriminación sufrida, sin que sea suficiente afirmar que ello se acreditará en su momento, pues se trata de un presupuesto del ejercicio de la acción de amparo. En consecuencia, considera que procede acordar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recurso de amparo es inadmisible en aplicación estricta de lo dispuesto en el art. 50.2 b) de la Ley Orgánica de este Tribunal, al no ofrecerse indicio alguno de vulneración del derecho fundamental que se invoca.  En primer lugar porque, a diferencia de otros derechos fundamentales, cuya titularidad por las entidades públicas es innegable, aun con ciertos matices, no pueden ser aquellas consideradas como titulares del derecho fundamental a la no discriminación amparado por el art.  14 de la Constitución, que se refiere a «los españoles» y no es de aplicación a las personas jurídico-públicas en cuanto tales (ATC 135/1985, de 27 de febrero). Pero es que, aunque así no fuera, la Corporación recurrente imputa la infracción constitucional que alega a una Sentencia de la Sala Cuarta del Tribunal Supremo, sin referir otras decisiones de la misma Sala que hayan adoptado resoluciones diferentes en casos idénticos, en aplicación de la legalidad. Alude tan sólo, sin mencionarlos tampoco, a otros supuestos en que se han adoptado medidas distintas por las autoridades administrativas competentes. En realidad, lo que el recurrente de amparo plantea, bajo la invocación de vulneración de un derecho fundamental, no es sino una cuestión de legalidad ordinaria de carácter organizativo concerniente al traslado de la sede o archivos de un Registro Civil, que nada tiene que ver con el derecho fundamental alegado y es de la exclusiva competencia de los Tribunales ordinarios.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sin que haya lugar a pronunciarse sobre la solicitud de suspensión interesada.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enero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