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3929-1995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3.929/1995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recurrente se interpuso la correspondiente demanda de amparo el día 22 de noviembre de 1995 ante este Tribunal. Dicha demanda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4 de septiembre de 1995. se dicta Providencia por el Juzgado de Primera Instancia núm. 1 de Chiclana de la Frontera, en la que se acuerda que en las actuaciones de juicio del art. 131 de la Ley Hipotecaria, núm. 402/92, sustanciadas ante dicho órgano judicial, se proceda a la toma de posesión a favor del adjudicatario de la finca que le ha sido adjudicada, en este caso el «Banco Bilbao Vizcaya S. A.». No obstante, la ahora recurrente en amparo ostenta la cualidad de arrendataria de la finca adjudicada, cualidad que en este caso le viene atribuida en virtud de la subrogación producida el día 1 de febrero de 1994, en los derechos y obligaciones arrendaticias del arrendatario originario don Luis Morales García, que en fecha 13 de abril de 1992, había suscrito el meritado contrato con la entonces propietaria, «Duffystock Limited», como propietaria del total del accionariado de «El Plantel de Benalup S. A.», sociedad propietaria de la finca adjudicada.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virtud de la Providencia dictada, se acordó entregar la posesión de la finca arrendada a la nueva adjudicataria, así como el lanzamiento sin previa audiencia del arrendatario, de acuerdo con lo actuado en el citado procedimiento del art. 131 de la Ley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se solicita la suspensión del acto impugnado, y para el caso de haberse ya retirado la posesión a la solicitante, la inmediata reposición en su situación anterior de arrendataria y poseedora al objeto de no causar innecesarios perjuicios a la misma, que implicarían la pérdida de la cosecha, ya que ello no supondría en modo alguno perjudicar los derechos del legítimo propietario adjudicatario de la finca en cuestión. Fundamenta el recurrente su petición a los efectos del restablecimiento de su derecho a la tutela judicial reconocido en el art. 24.1 de nuestra Norma Fundamental, derecho que ha sido presuntamente vulnerado, según alega el solicitante, al no haber sido oído en dicho procedimiento judicial, ya que la única noticia del mismo, ha sido la notificación de la indicada Providencia, en virtud de la cual se ordena la entrega de la posesión, a un determinado número de días vista, habiéndosele causado por ello, evidente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27 de mayo de 1996, a tenor de lo dispuesto en el art. 56 LOTC, la Sección acordó conceder un plazo común de tres días al Ministerio Fiscal y al solicitante de amparo, para que dentro de dicho término alegaran lo que estimaren conveniente con relación a la petición de suspensión manifestada.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presentado en el Registro del mismo el día 28 de mayo, estima que procede la suspensión solicitada porque de otro modo se produciría la ejecución de la resolución objeto del presente recurso, suponiendo la efectiva pérdida de la posesión por la recurrente, posesión a la que presuntamente tiene derecho en virtud del contrato de arrendamiento del que la misma es titular a título de arrendataria, causándole un evidente perjuicio derivado de la imposibilidad de la recolección que derivaría en un considerable detrimento de carácter económico para la misma, según queda acreditado en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solicitante de amparo reiteró los argumentos manifestados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Este Tribunal ha venido manteniendo, en aplicación de la anterior disposición que cuando el recurso se dirige contra resoluciones judiciales, aquel interés general consiste precisamente en su ejecución, por lo que, en tales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resoluciones con efectos meramente económicos la doctrina general de este Tribunal, es en efecto. que la ejecución de las mismas no causa ningún perjuicio irreparable, puesto que su reparación ulterior, en caso de ser estimado el recurso de amparo, no será dificultosa.  Ahora bien, también tiene declarado este Tribunal que en aquellos supuestos en que el pago acarrea perjuicios patrimoniales de carácter irreparable o difícilmente reparable, de tal manera que los fines del recurso de amparo quedaban comprometidos, por excepción, es procedente adoptar las medidas cautelares que eviten tal consecuencia. Así ocurre entre otros supuestos cuando se lleva a cabo la transmisión irrecuperable de un bien determinado (AATC 565/1986 y 52/19X9,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recurso la ejecución que se pretende suspender se ha concretado en la resolución del Juzgado de Primera Instancia de Chiclana de la Frontera que ordena la entrega de la posesión de la finca adjudicada por parte del arrendatario a la sociedad adjudicataria, con los consiguientes perjuicios derivados de la citada pérdida de la posesión, así como de los bienes objeto de la recolección, por ello, la aplicación de la doctrina de este Tribunal ya expuesta, sobre suspensión de las resoluciones impugnadas en amparo, lleva a la consecuencia de estimar procedente dicha suspensión, para evitar la pérdida de la posesión a la que en virtud del contrato la recurrente tiene derecho, así como el detrimento económico que la misma llevaría aparejado en el supuesto de que no se procediese a la recolección de los frutos propios de dicha finca.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lo expuesto, la Sala acuerda suspender la ejecución ordenada en virtud de la providencia de 4 de septiembre de 1995, dictada en los autos núm. 235/95, de juicio del art. 131 de la Ley Hipotecaria, seguidos ante el Juzgado de Primera Instancia núm. 1 de Chiclana de la Frontera, hasta que recaiga resolución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