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ejecución de la resolución impugnada reseñada en el encabezamiento.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9 de julio de 1999, la representación procesal del demandante ha interpuesto recurso de amparo contra el Auto de 25 de mayo de 1998 de la Sala Tercera del Tribunal Supremo que deniega el nombramiento de Abogado y Procurador de oficio para interponer recurso de casación núm. 3791/98, y declara desierto el mismo, así como el que lo ratifica en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preparó recurso de casación contencioso-administrativo contra la Sentencia de 28 de noviembre de 1997 de la Sala correspondiente del Tribunal Superior de Justicia de la Comunidad Valenciana, por la que se desestimaba su impugnación de una resolución administrativa que obligaba a una Comunidad de Propietarios a modificar la centralización de los contadores eléctricos para adaptarla a determinada normativa. </w:t>
      </w:r>
    </w:p>
    <w:p w:rsidRPr="00C21FFE" w:rsidR="00AD51A7" w:rsidRDefault="00AD51A7">
      <w:pPr>
        <w:rPr/>
      </w:pPr>
      <w:r w:rsidRPr="&lt;w:rPr xmlns:w=&quot;http://schemas.openxmlformats.org/wordprocessingml/2006/main&quot;&gt;&lt;w:lang w:val=&quot;es-ES_tradnl&quot; /&gt;&lt;/w:rPr&gt;">
        <w:rPr/>
        <w:t xml:space="preserve">b) Para su interposición solicitó el nombramiento de Abogado y Procurador del turno de oficio, que le fue denegado por la resolución impugnada, lo que conllevó la declaración de tener por desierto el recurso por transcurso del término de emplazamiento.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vulneración del art. 24.1 CE, en su vertiente de derecho al acceso a los recursos previstos por la Ley. </w:t>
      </w:r>
    </w:p>
    <w:p w:rsidRPr="00C21FFE" w:rsidR="00AD51A7" w:rsidRDefault="00AD51A7">
      <w:pPr>
        <w:rPr/>
      </w:pPr>
      <w:r w:rsidRPr="&lt;w:rPr xmlns:w=&quot;http://schemas.openxmlformats.org/wordprocessingml/2006/main&quot;&gt;&lt;w:lang w:val=&quot;es-ES_tradnl&quot; /&gt;&lt;/w:rPr&gt;">
        <w:rPr/>
        <w:t xml:space="preserve">Asimismo, en el suplico de la demanda, solicita la suspensión de la ejecución de la resolución recurrida al entender que le ocasionaría un perjuicio manifiesto, grave e irreversible.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mediante providencia de fecha 4 de noviembre de 1999, acordó admitir a trámite el recurso de amparo, y dirigir comunicación al órgano judicial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de suspensión y, conforme a lo dispuesto en el art. 56 LOTC, conceder un plazo común de tres días a las partes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19 y 25 de noviembre de 1999, el recurrente en amparo y el Ministerio Fiscal han presentado sus alegaciones en el incidente de suspensión, reiterando aquél lo expuesto en su escrito de demanda, es decir, aduciendo que la ejecución le causaría un perjuicio manifiesto, grave e irreversible que haría perder objeto al presente recurso de amparo en caso de prosperar. </w:t>
      </w:r>
    </w:p>
    <w:p w:rsidRPr="00C21FFE" w:rsidR="00AD51A7" w:rsidRDefault="00AD51A7">
      <w:pPr>
        <w:rPr/>
      </w:pPr>
      <w:r w:rsidRPr="&lt;w:rPr xmlns:w=&quot;http://schemas.openxmlformats.org/wordprocessingml/2006/main&quot;&gt;&lt;w:lang w:val=&quot;es-ES_tradnl&quot; /&gt;&lt;/w:rPr&gt;">
        <w:rPr/>
        <w:t xml:space="preserve">El Ministerio Fiscal ha manifestado su oposición al otorgamiento de la suspensión de la resolución impugnada en esta sede, dado el carácter patrimonial de la resolución afectada por el recurso de casación cuya interposición se intenta, y visto que lo que se pide es la suspensión de una resolución denegatoria del acceso al recurso, por lo que acceder a tal petición no provoca beneficio alguno al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se reclama el amparo sólo cuando dicha ejecución, caso de llevarse a cabo, "hubiere de causar un perjuicio que haría perder al amparo su finalidad", si bien el segundo inciso de dicho precepto consagra un límite a tal posibilidad excepcional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debe ser la de no proceder a la suspensión de las resoluciones judiciales,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En tal aspecto es el potencial perjudicado quien ha de justificar el eventual perjuicio. Y aunque este Tribunal al pronunciarse sobre la suspensión no puede prejuzgar la cuestión principal del proceso de amparo, ha de ponderar los efectos que puedan derivarse de su resolución.</w:t>
      </w:r>
    </w:p>
    <w:p w:rsidRPr="00C21FFE" w:rsidR="00AD51A7" w:rsidRDefault="00AD51A7">
      <w:pPr>
        <w:rPr/>
      </w:pPr>
      <w:r w:rsidRPr="&lt;w:rPr xmlns:w=&quot;http://schemas.openxmlformats.org/wordprocessingml/2006/main&quot;&gt;&lt;w:lang w:val=&quot;es-ES_tradnl&quot; /&gt;&lt;/w:rPr&gt;">
        <w:rPr/>
        <w:t xml:space="preserve">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conocida, por reiterada, la doctrina de este Tribunal conforme a la cual no procede, como criterio general, la suspensión de la ejecución de aquellos fallos judiciales que admiten la restitución íntegra de lo ejecutado (como ocurre, aunque no sin excepciones, en las condenas de contenido patrimonial), pues, por más que puedan producir efectos desfavorables a quien demanda el amparo, su reparación posterior, en caso de estimarse éste, es meramente económica y por ello no dificultosa (AATC 573/1985, 574/1985, 275/1990 y 287/1997).</w:t>
      </w:r>
    </w:p>
    <w:p w:rsidRPr="00C21FFE" w:rsidR="00AD51A7" w:rsidRDefault="00AD51A7">
      <w:pPr>
        <w:rPr/>
      </w:pPr>
      <w:r w:rsidRPr="&lt;w:rPr xmlns:w=&quot;http://schemas.openxmlformats.org/wordprocessingml/2006/main&quot;&gt;&lt;w:lang w:val=&quot;es-ES_tradnl&quot; /&gt;&lt;/w:rPr&gt;">
        <w:rPr/>
        <w:t xml:space="preserve">En aplicación de la doctrina que se acaba de exponer, no procede decretar la suspensión solicitada, pues la ejecución de la resolución cuestionada sólo supondría que no se tramite el recurso de casación presentado y, más allá, de llevarse a efecto la Sentencia cuya impugnación se pretendía con la casación, su ejecución sólo conlleva efectos patrimoniales para la Comunidad de Propietarios a la que se ordena adaptar los contadores eléctricos a determinada normativa. De suerte que, en atención a su naturaleza puramente patrimonial o económica, dicha ejecución no puede entrañar un perjuicio irreparable para el demandante de amparo, ya que sus efectos son siempre resarcibles.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ejecución de la resolución impugnada reseñada en el encabezamiento.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