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en el recurso de amparo núm. 1138/2000.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febrero de 2000, don Fernando Bermúdez de Castro Rosillo, Procurador de los Tribunales y de doña Concepción Hernando Reinales, interpuso recurso de amparo contra la Sentencia dictada el 1 de febrero de 2000 por la Sección Tercera de la Audiencia Provincial de Zaragoza, en trámite de apelación del juicio de faltas núm. 216/99 del Juzgado de Instrucción núm. 8 de Zaragoza.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un accidente de circulación acaecido el 16 de noviembre de 1998, se tramitó por el Juzgado de Instrucción núm. 8 de Zaragoza el juicio de faltas núm. 216/1999, que concluyó mediante Sentencia absolutoria del denunciado, de fecha 24 de septiembre de 1999.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apelación don José Luis Martínez Lafuente, Letrado de la entonces denunciante y ahora demandante en amparo. Este recurso, al que se dio la correspondiente tramitación, habiendo sido impugnado por la parte denunciada, fue declarado mal admitido por Sentencia de la Sección Tercera de la Audiencia Provincial de Zaragoza de 1 de febrero de 2000 al no haber quedado acreditado que el indicado Letrado ostentase poder para actuar en nombre y representación de la apelante.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recurrente, esta última Sentencia habría vulnerado su derecho a la tutela judicial efectiva sin indefensión (art. 24.1 CE) porque, apreciada por la Sección actuante de la Audiencia Provincial de Zaragoza el defecto de postulación antes indicado, el órgano judicial debiera haber posibilitado su subsanación. Consecuentemente, solicita su anulación y el reconocimiento del derecho que ostenta a obtener un pronunciamiento sobre el fondo de la pretensión ejercitada en grado de apelación. Por medio de otrosí interesa, asimismo, la suspensión de la ejecución de dicha resolución judicial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26 de junio de 2000, la Sección Segunda de este Tribunal admitió a trámite la demanda de amparo y acordó la formación de la pieza separada de suspensión. Asimismo, de conformidad con lo prevenido en el art. 56 LOTC, concedió un plazo común de tres días al Ministerio Fiscal y al solicitante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solicitante de amparo ingresó en el Registro General de este Tribunal Constitucional el 3 de julio de 2000. En él, y de forma muy sucinta, se reitera la solicitud de que "se suspenda cualquier tipo de ejecución que se pudiera dar en la Sentencia en su día dictada, todo ello a expensas de decirse el amparo solicitado o, en su caso, quede suspendida la ejecución, hasta que se dicte Sentencia por la Sala sobre la demanda de amparo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6 de julio de 2000, tuvo entrada el escrito de alegaciones del Ministerio Fiscal, quien se opone a la suspensión solicitada. Teniendo siempre presente el carácter excepcional y de aplicación restrictiva de la suspensión recogida en el art. 56 LOTC, apunta el Ministerio Fiscal tres razones que, en su opinión, aconsejan la desestimación de la pretensión cautelar deducida por la recurrente. Así, en primer lugar, destaca que la demandante no ha especificado qué perjuicios de difícil o imposible reparación se derivarían para ella de la ejecución de la Sentencia impugnada. Por otro lado, subraya que, teniendo dicha Sentencia un contenido esencialmente negativo, lo que en puridad se pide es la adopción de una medida cautelar positiva, que supondría una concesión anticipada del amparo. Finalmente, consigna que la Sentencia de instancia, por la que se absuelve al acusado, contiene una reserva expresa de las acciones civiles de la perjudicada que, en consecuencia, puede solicitar en esa vía jurisdiccional las oportunas indemnizaciones, e incluso obtener, en su caso, un título ejecutivo, de tal modo que lo acordado por la Sentencia de apelación no vendría a agravar la situación jurídica resultante de la decisión adoptada en la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el amparo constitucional se solicite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(por todos, AATC 134/1996, 183/1997, 398/1997, 153/1998 y 181/1998), salvo que el demandante acredite suficientemente la irreparabilidad que para sus derechos fundamentales pudiera tener la ejecución del fallo, privando al amparo de su finalidad (entre otros muchos, AATC 51/1989, 136/1996, 310/1996, 420/1997 y 13/1999). Debe entenderse por perjuicio irreparable aquel que provoque que el restablecimiento del recurrente en el derecho constitucional vulnerado sea tardío e impida definitivamente que tal restauración sea efectiva (AATC 51/1989, 20/1992, 370/1996, 69/1997, 263/1998 y 215/1999).</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no suspende, como regla general, la ejecución de los actos recurridos, salvo en el supuesto expresamente previsto de la pérdida de la finalidad del amparo y, aun en este caso, condicionado a que la suspensión no produzca las perturbaciones aludidas en el mismo (AATC 156 y 157/1999).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al presente caso debe conducir insoslayablemente a la desestimación de la solicitud de suspensión por las razones apuntadas por el Ministerio Fiscal en su escrito de alegaciones. En efecto, y dejando ahora al margen que la recurrente nada ha alegado en torno a la irreparabilidad de los perjuicios que le produciría la ejecución de la resolución judicial impugnada, así como el carácter negativo de su contenido, importa destacar que no se aprecia que la inadmisión del recurso de apelación que se combate cause ningún perjuicio que pueda comprometer la finalidad del presente proceso constitucional, pues resulta evidente que, en la hipótesis de prosperar el amparo, no existiría ningún impedimento para la tramitación y resolución del indicado recurso de apelación con cuya admisión se restablecería al recurrente en la integridad del derecho que dice vulnerado.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en el recurso de amparo núm. 1138/2000.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