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suspender la ejecución de la Sentencia de la Audiencia Provincial de Vizcaya de 2 de febrero de 1999, objeto de impugnación en el presente recurso de amparo, sólo en lo que respecta a las penas no</w:t>
            </w:r>
          </w:p>
          <w:p w:rsidRPr="00D13423" w:rsidR="00AD51A7" w:rsidRDefault="00AD51A7">
            <w:pPr>
              <w:rPr/>
            </w:pPr>
            <w:r w:rsidRPr="&lt;w:rPr xmlns:w=&quot;http://schemas.openxmlformats.org/wordprocessingml/2006/main&quot;&gt;&lt;w:color w:val=&quot;800080&quot; /&gt;&lt;w:szCs w:val=&quot;24&quot; /&gt;&lt;/w:rPr&gt;">
              <w:rPr/>
              <w:t xml:space="preserve">pecuniarias.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Luis Martín Jaureguibeitia interpuso, mediante escrito registrado en este Tribunal el día 26 de abril de 1999, demanda de amparo, en nombre y representación de don Iñigo Goikoetxea Uriarte, contra la Sentencia de la Audiencia Provincial de Vizcaya, de 2 de febrero de 1999, por la que se desestimó el recurso de apelación contra la anterior del Juzgado de lo Penal núm. 3 de Bilbao, que había condenado al recurrente como autor de un delito de allanamiento de morada a la pena de seis meses y un día de prisión menor y cien mil pesetas de multa, con dieciséis días de arresto sustitutorio en caso de impago, y suspensión de cargo público, profesión y derecho de sufragio durante el tiempo de la condena; como autor de otro de lesiones a la pena de un mes y un día de arresto mayor, con la misma accesoria; y como autor de dos faltas de lesiones a la de diez días de arresto menor por cada una de ellas, así como al pago de las indemnizaciones establecidas a favor de los que fueron declarados perjudicados. En el lugar correspondiente de la demanda se solicitó por el recurrente la suspensión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en providencia de 10 de octubre de 2000, acordó admitir a trámite la presente demanda de amparo, y en otro proveído de la misma fecha, acordó formar la oportuna pieza de suspensión para resolver dicho incidente, concediendo al efecto un plazo de tres días a la parte recurrente y al Ministerio Fiscal para que aleguen lo que estimen pertinente sobre la suspensión instada por 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dicho trámite mediante escrito presentado en el Registro General de este Tribunal el 26 de octubre de 2000, en el que, tras exponer los antecedentes, manifestó su conformidad con que la suspensión de la ejecución de la Sentencia se limite a la pena privativa de libertad impuesta al recurrente, pero no en relación a la multa impuesta y las responsabilidades civiles, de conformidad a la doctrina constitucional que allí se recuerda.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demandante de amparo no presentó escrito alguno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predicado más arriba, dentro del caso concreto que nos ocupa, desvela ante todo que existe un interés general latente en la ejecución, intrínseco a la ejecutoriedad de toda sentencia definitiva y firme, pues en un Estado de Derecho las sentencias claman por ser cumplidas, como exigencia implícita a la eficacia de la tutela judicial -arts. 24.1 y 118 CE- (ATC 120/1993). Ahora bien, siendo cierto lo anterior no lo es menos que la libertad, como valor, inspira la entera concepción constitucional desde su pórtico, donde se invoca como el primero y principal de los pilares del sistema (art. 1 CE), desplegándose después en un abanico de manifestaciones fenoménicas, libertades concretas configuradas como derechos fundamentales, con una más intensa protección, entre las cuales se encuentra la libertad personal (art. 17.1 CE), soporte de las demás. Por ello en la ponderación de ambos valores constitucionales, a efectos de adoptar la medida cautelar de suspensión, este Tribunal ha venido decantándose, con carácter general, por el segundo en atención a que la privación de la libertad personal es irreversible y no puede ser restaurada en su integridad y sustancia, sin que una eventual indemnización de daños y perjuicios pueda tener otra función que la compensatoria, muy lejos de la restitutio in integrum, de donde queda patente la necesidad de suspender la ejecutoriedad de las sentencias impugnadas en este aspecto, extensible al arresto sustitutorio por impago de la multa (AATC 319/1985 y 382/1990) y a las penas restrictivas de derechos (ATC 144/1984), ya que, en caso contrario, el eventual otorgamiento del amparo habría perdido su finalidad práctica, pues el actor tendría cumplida para entonces la pena de prisión y, en su caso, el arresto sustitutorio, ambos de corta duración (AATC 98/1983, 179/1984, 116/1990 y 120/1993).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condena al pago de las indemnizaciones, establecidas por el Juez en concepto de responsabilidad civil, a cargo del recurrente, y a favor de los que han sido declarado perjudicados, no es sino una prestación de dar, obligación pecuniaria en suma, cuantificada y recuperable, en principio. Por esta su naturaleza ha merecido trato distinto, permitiéndose la ejecución en casos como el presente, en que ni siquiera se alega que el pago de tal cantidad haya de irrogar perjuicio alguno, capaz de hacer perder al amparo su finalidad, en este punto, de llegar a buen puerto. De ahí que no se deba extender a este pronunciamiento la medida cautelar.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suspender la ejecución de la Sentencia de la Audiencia Provincial de Vizcaya de 2 de febrero de 1999, objeto de impugnación en el presente recurso de amparo, sólo en lo que respecta a las penas no</w:t>
      </w:r>
    </w:p>
    <w:p w:rsidRPr="" w:rsidR="00AD51A7" w:rsidRDefault="00AD51A7">
      <w:pPr>
        <w:rPr/>
      </w:pPr>
      <w:r w:rsidRPr="&lt;w:rPr xmlns:w=&quot;http://schemas.openxmlformats.org/wordprocessingml/2006/main&quot;&gt;&lt;w:szCs w:val=&quot;24&quot; /&gt;&lt;/w:rPr&gt;">
        <w:rPr/>
        <w:t xml:space="preserve">pecuniarias.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