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3782-2000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Sentencia de la Sección Primera de la Audiencia Provincial de Alicante de 19 de marzo de 2000, en el rollo de apelación núm.  83/00, tan solo respecto de la pena de privación del permiso de conducir.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29 de junio de 2000, la Procuradora de los Tribunales doña María Soledad San Mateo García, en nombre y representación de don José Antonio Mas Farre, interpone recurso de amparo contra la Sentencia dictada por la SecAudiencia Provincial de Alicante el 19 de mayo de 2000, en el rollo de apelación núm. 83/00, por la que se condenó al recurrente, como autor responsable de un delito contra la seguridad del tráfico, a las penas de 100.000 pesetas de multa con arresto sustitutorio de cuatro días en caso de impago y privación del permiso de conducir o del derecho a obtenerlo por tiempo de tres meses y un día.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14 de febrero de 2002, acordó, respectivamente, la admisión a trámite de la demanda de amparo y la formación de pieza separada para la tramitación del incidente sobre la suspensión solicitada, concediendo al recurrente y al Ministerio Fiscal el plazo común de tres días para que alegasen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Procuradora Sra. San Mateo efectúa sus alegaciones, mediante escrito registrado el 27 de febrero de 2002, insistiendo, como ya lo hizo en la demanda de amparo, en que la no suspensión de la pena de privación del permiso de conducir durante tres meses y un día ocasionaría un perjuicio irreparable al recurrente, haciendo perder al amparo su finalidad, sin que existan motivos de denegación por peligro de perturbación grave de los intereses generales o libertades públicas de un tercero. No se hace referencia alguna respecto de la pena de multa y del arresto sustitutorio, en su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evacúa el trámite conferido mediante escrito registrado el 4 de marzo de 2002. En él señala que, al tratarse de una pena privativa de derechos, el interés general de la efectividad del cumplimiento de la condena impuesta exige que se proceda a denegar la suspensión solicitada, pues, además, el actor no ha alegado la concurrencia de circunstancias personales o laborales que la justifiquen.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artículo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18/1998, 47/1998, 79/1998, 182/1998 y 186/1998),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y 25/2002).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ha establecido como criterio general la improcedencia de la suspensión de la ejecución de aquellos fallos judiciales que admiten la restitución íntegra de lo ejecutado (como, por lo general, sucede en las condenas de contenido patrimonial),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otros).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Dado que el recurrente nada solicita respecto a la multa impuesta y, en caso de impago, al arresto sustitutorio de cuatro días, aplicada la doctrina expuesta al presente caso, ha de accederse a la suspensión solicitada por el recurrente respecto de la pena de privación del permiso de conducir pues, analizando el supuesto de autos, puede advertirse que el delito contra la seguridad del tráfico previsto y penado en el derogado art. 340 bis a) del Código Penal, texto refundido de 1973 (en la actualidad contenido en el art.  379 del Código vigente) por el que ha sido condenado el ahora demandante de amparo, no reviste notoria gravedad y la corta duración de la pena de privación del permiso de conducir impuesta, haría perder al amparo su finalidad caso de no accederse a la suspensión interesada. Por ello procede acordar la suspensión de conformidad con la doctrina reiterada de este Tribunal (AATC 136/1996, de 27 de marzo, FJ 2 y 55/1998, de 2 de marzo, FJ 3, por todos).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Sentencia de la Sección Primera de la Audiencia Provincial de Alicante de 19 de marzo de 2000, en el rollo de apelación núm.  83/00, tan solo respecto de la pena de privación del permiso de conducir.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veintidós de abril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