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3745-2002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junio de 2002 tuvo entrada en el Registro General del Tribunal Constitucional un escrito del Juzgado de lo Social núm. 2 de León, al que se acompaña, junto al testimonio del correspondiente procedimiento, el Auto del referido Juzgado de 6 de junio de 2002, por el que se acuerda elevar a este Tribunal cuestión de inconstitucionalidad en relación con el art. 16.2 de la Ley 8/1997, de 8 de julio, de Colegios profesionales de Castilla y LeónColegios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Mª Dominica Teresa Seco Alonso y treinta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reconozca su derecho a que en lo sucesivo las cuotas colegiales sean sufragadas por la Administración sanitaria para la que prestan servicios y se condene a ésta a devolver a cada uno de los demandantes la cantidad de 526,13 €,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258-2002), se celebró el juicio con fecha 16 de mayo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16 de mayo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29 de mayo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24 de mayo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los demandantes presentó su escrito de alegaciones de fecha 27 de mayo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los demandantes son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6 de junio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16 de mayo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los actores en el proceso a quo son personal estatutario de la Seguridad Social, que quedarían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6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16 de mayo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y justifica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carácter de legislación básica dictada al amparo del art. 149.1.13 y 18 CE, según establece la disposición final segunda del propio Real Decreto-ley)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FJ 8 de la STC 89/1989, con cita de la jurisprudencia del Tribunal Europeo de Derechos Humanos, se señala que "...La colegiación obligatoria, como requisito exigido por la Ley para el ejercicio de la profesión, no constituye una vulneración del principio y derecho de liberad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