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Agrupación electoral Zamudioztarron Irrintzia.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rechazada.</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Agrupación electoral Zamudioztarron Irrintzia.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María Emilia Casas Baamonde al Auto recaído en el recurso de amparo núm. 2978-2003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w:t>
      </w:r>
    </w:p>
    <w:p w:rsidRPr="00C36767" w:rsidR="00AD51A7" w:rsidRDefault="00AD51A7">
      <w:pPr>
        <w:rPr/>
      </w:pPr>
      <w:r w:rsidRPr="&lt;w:rPr xmlns:w=&quot;http://schemas.openxmlformats.org/wordprocessingml/2006/main&quot;&gt;&lt;w:lang w:val=&quot;es-ES_tradnl&quot; /&gt;&lt;/w:rPr&gt;">
        <w:rPr/>
        <w:t xml:space="preserve">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