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2984-2003 </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la Agrupación electoral Lehia de Loiu.</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parte demandante de amparo ha promovido, mediante otrosí digo de su escrito de demanda registrada en este Tribunal el 7 de mayo, incidente de recusación contra todos los Magistrados del Tribunal. </w:t>
      </w:r>
    </w:p>
    <w:p w:rsidRPr="00C21FFE" w:rsidR="00AD51A7" w:rsidRDefault="00AD51A7">
      <w:pPr>
        <w:rPr/>
      </w:pPr>
      <w:r w:rsidRPr="&lt;w:rPr xmlns:w=&quot;http://schemas.openxmlformats.org/wordprocessingml/2006/main&quot;&gt;&lt;w:lang w:val=&quot;es-ES_tradnl&quot; /&gt;&lt;/w:rPr&gt;">
        <w:rPr/>
        <w:t xml:space="preserve">Alegan, con apoyo en los arts. 24.2 CE, 80 LOTC y 217 y siguientes LOPJ, que los Excms. Srs. Magistrados incurren en contaminación y merma de la imparcialidad objetiva (art. 219.10 LOPJ), por su contacto con elementos de fondo a resolver en el presente recurso cuando procedieron a resolver el recurso de inconstitucionalidad promovido por el Gobierno Vasco contra diversos preceptos de la Ley Orgánica 6/2002, de partidos políticos, en la Sentencia 48/2003, de 12 de marzo. </w:t>
      </w:r>
    </w:p>
    <w:p w:rsidRPr="00C21FFE" w:rsidR="00AD51A7" w:rsidRDefault="00AD51A7">
      <w:pPr>
        <w:rPr/>
      </w:pPr>
      <w:r w:rsidRPr="&lt;w:rPr xmlns:w=&quot;http://schemas.openxmlformats.org/wordprocessingml/2006/main&quot;&gt;&lt;w:lang w:val=&quot;es-ES_tradnl&quot; /&gt;&lt;/w:rPr&gt;">
        <w:rPr/>
        <w:t xml:space="preserve">Además, afirman que en caso del Presidente del Tribunal concurre la causa de abstención señalada en el núm. 9 del art. 219 LOPJ. Con remisión a las hemerotecas de diversos medios de comunicación, afirman que ha quedado constancia del interés del Excmo. Sr. Jiménez de Parga en que se produzca el resultado consistente en la ilegalización de los grupos políticos HB/EH/Batasuna, respecto de los cuales se vincula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hoy, se concedió un plazo improrrogable, hasta las diecinueve horas, para aportar poder especial para formular la recusación (conforme exige el art. 223.2 LOPJ), teniendo en cuenta que está previsto el inicio de la deliberación sobre el recurso en el día de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fax recibido en este Tribunal antes de la hora fijada, la representación procesal del demandante presentó copia del poder especial.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propuesta de recusación formulada por la parte demandante de amparo es inviable, por lo que debe ser rechazad</w:t>
      </w:r>
    </w:p>
    <w:p w:rsidRPr="00C21FFE" w:rsidR="00AD51A7" w:rsidRDefault="00AD51A7">
      <w:pPr>
        <w:rPr/>
      </w:pPr>
      <w:r w:rsidRPr="&lt;w:rPr xmlns:w=&quot;http://schemas.openxmlformats.org/wordprocessingml/2006/main&quot;&gt;&lt;w:lang w:val=&quot;es-ES_tradnl&quot; /&gt;&lt;/w:rPr&gt;">
        <w:rPr/>
        <w:t xml:space="preserve">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esas tachas incurre la recusación suscitada contra todos los Magistrados integrantes del Tribunal Constitucional y, por tanto, contra el Tribunal mismo.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resulta de imposible aplicación".</w:t>
      </w:r>
    </w:p>
    <w:p w:rsidRPr="00C21FFE" w:rsidR="00AD51A7" w:rsidRDefault="00AD51A7">
      <w:pPr>
        <w:rPr/>
      </w:pPr>
      <w:r w:rsidRPr="&lt;w:rPr xmlns:w=&quot;http://schemas.openxmlformats.org/wordprocessingml/2006/main&quot;&gt;&lt;w:lang w:val=&quot;es-ES_tradnl&quot; /&gt;&lt;/w:rPr&gt;">
        <w:rPr/>
        <w:t xml:space="preserve">Por añadidura, son distintos los objetos de un recurso de inconstitucionalidad y de un recurso de amparo, incluso en la hipótesis de que en el primero se enjuicie una ley cuya aplicación resulte relevante en el recurso de amparo (arts. 27 y 41 LOTC; ATC 226/2002, de 20 de noviembre, FJ 7). El juicio sobre la constitucionalidad de una ley nunca puede privar a los Magistrados de este Tribunal de la imparcialidad necesaria para enjuiciar disposiciones, actos jurídicos o simples vías de hecho de los poderes públicos que afecten a los derechos y libertades de los ciudadanos, aunque los actos enjuiciados en amparo guarden relación con aquella ley.</w:t>
      </w:r>
    </w:p>
    <w:p w:rsidRPr="00C21FFE" w:rsidR="00AD51A7" w:rsidRDefault="00AD51A7">
      <w:pPr>
        <w:rPr/>
      </w:pPr>
      <w:r w:rsidRPr="&lt;w:rPr xmlns:w=&quot;http://schemas.openxmlformats.org/wordprocessingml/2006/main&quot;&gt;&lt;w:lang w:val=&quot;es-ES_tradnl&quot; /&gt;&lt;/w:rPr&gt;">
        <w:rPr/>
        <w:t xml:space="preserve">En cuanto a la atípica solicitud de abstención del Presidente del Tribunal, es suficiente con remitirse a lo resuelto por el Pleno de este Tribunal en el Auto 226/2002, de 20 de noviembre, cuya doctrina es plenamente aplicable a este proceso, también diferente y ajeno al objeto de sus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sobre la admisión a trámite de la recusación formulada por los recurrentes debe ser adoptada por esta Sala de amparo electoral. Es cierto que, como regla general, la competencia sobre recusaciones de Magistrados corresponde al Pleno (art. 10.h LOTC). Pero, como indicamos al resolver una cuestión análoga en la Sentencia 48/2000, de 24 de febrero (FJ 3), la perentoriedad del proceso de amparo electoral obliga a que la Sala que conoce de ellos deba adoptar las decisiones que hagan posible que el Tribunal Constitucional resuelva dentro de los plazos marcados por la legislación electoral, haciendo posible "el desarrollo efectivo de los procesos electorales que forman parte de la esencia misma del Estado democrático de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la Agrupación electoral Lehia de Loiu.</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María Emilia Casas Baamonde al Auto recaído en el recurso de amparo núm. 2984-2003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recusación del Excmo. Sr. Magistrado don Manuel Jiménez de Parga y Cabrera, Presidente del Tribunal Constitucional, formulada con base en la causa recogida en el núm. 9 del art. 219 LOPJ, manifiesto mi discrepancia frente a la resolución de la Sala de inadmisión a limine por las razones expuestas en el voto particular que junto a otros Magistrados formulé en el ATC 61/2003, de 19 de febrero.</w:t>
      </w:r>
    </w:p>
    <w:p w:rsidRPr="00C36767" w:rsidR="00AD51A7" w:rsidRDefault="00AD51A7">
      <w:pPr>
        <w:rPr/>
      </w:pPr>
      <w:r w:rsidRPr="&lt;w:rPr xmlns:w=&quot;http://schemas.openxmlformats.org/wordprocessingml/2006/main&quot;&gt;&lt;w:lang w:val=&quot;es-ES_tradnl&quot; /&gt;&lt;/w:rPr&gt;">
        <w:rPr/>
        <w:t xml:space="preserve">En Madrid, siete de mayo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