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suspensión de la ejecución de las Sentencias de la Sección Séptima de la Audiencia Provincial de Alicante de 25 de abril de 2002 y del Juzgado de lo Penal núm. 2 de Elche de 11 de septiembre de 2001 en lo relativo a la pena de privación del derecho a</w:t>
            </w:r>
          </w:p>
          <w:p w:rsidRPr="00D13423" w:rsidR="00AD51A7" w:rsidRDefault="00AD51A7">
            <w:pPr>
              <w:rPr/>
            </w:pPr>
            <w:r w:rsidRPr="&lt;w:rPr xmlns:w=&quot;http://schemas.openxmlformats.org/wordprocessingml/2006/main&quot;&gt;&lt;w:color w:val=&quot;800080&quot; /&gt;&lt;w:szCs w:val=&quot;24&quot; /&gt;&lt;/w:rPr&gt;">
              <w:rPr/>
              <w:t xml:space="preserve">conducir vehículos de motor y ciclomotores y denegar la suspensión de las mismas en cuanto al resto de sus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mayo de 2002, la Procuradora de los Tribunales doña María del Rosario Castro Rodrigo, interpuso, en nombre de don José Antonio Dolo Montesinos, recurso de amparo contra la Sentencia de 25 de abril de 2002 de la Sección Séptima de la Audiencia Provincial de Alicante que desestimó en apelación la Sentencia del Juzgado de lo Penal núm. 2 de Elche de 11 de septiembre de 2001 en virtud de la cual el recurrente resultó condenado, como autor de un delito de conducción bajo el efecto de bebidas alcohólicas (art. 379 CP), a las penas de cuatro meses multa con cuota diaria de mil pesetas y privación del derecho a conducir vehículos a motor y ciclomotores durante un año y cuatro meses; asimismo fue condenado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presunción de inocencia (art. 24.2 CE) en relación con el derecho a la integridad física (art. 15 CE), el derecho de defensa y el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octubre de 2003,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24 de octubre de 2003, la representación del demandante de amparo razonó sobre la procedencia de la suspensión interesada afirmando que la suspensión no ocasionaría perturbación grave de los intereses generales frente a los perjuicios irreparables que la ejecución de la pena de privación del derecho a conducir vehículos de motor y ciclomotores le ocasionaría dada su profesión de repartidor que acredita mediante la presentación del contrato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24 de octubre de 2003, el Ministerio Fiscal, interesó la denegación de la suspensión de la resolución en lo atinente a los pronunciamientos condenatorios de carácter patrimonial, si bien interesó se accediera a la suspensión de la ejecución de la pena de privación del derecho de conducir vehículos de motor en atención a los perjuicios irreparables que se le ocasionarían al recurrente dada su profesión de repartidor.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 pena de multa, y el arresto sustitutorio para caso de impago, la privación del derecho a conducir vehículos a motor y ciclomotores y la condena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106/2002, 313/2003, por todos). Esta doctrina es igualmente aplicable a la condena en costas procesales, pues al entrañar un pago en dinero, su ejecución no provoca ningún perjuicio que pueda hacer inútil el recurso de amparo (AATC 244/1991 y 2092/1992, 267/1995, 117/1999, entre otros muchos). Por consiguiente, en atención al carácter excepcional de la suspensión (art. 56 LOTC) ha de denegarse la suspensión de las resoluciones impugnadas en relación con las penas de multa impuestas y la condena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(AATC 136/1999; 48/2003).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ha de acordarse la suspensión de la ejecución de la pena de privación del permiso de conducir, dada la concurrencia de las circunstancias laborales alegadas, pues la corta duración de la pena impuesta haría perder al amparo su finalidad, caso de no accederse a la suspensión interesada (AATC 136/1996, de 27 de marzo, FJ 2; 55/1998, de 2 de marzo, FJ 3; 62/2002, de 22 de abril, FJ 3; y 313/2003, de 29 de septiembre, FJ 3), sin que, dada la escasa gravedad del hecho en atención a la gravedad de la pena impuesta, se observen graves perjuicios de los intereses generales o derechos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suspensión de la ejecución de las Sentencias de la Sección Séptima de la Audiencia Provincial de Alicante de 25 de abril de 2002 y del Juzgado de lo Penal núm. 2 de Elche de 11 de septiembre de 2001 en lo relativo a la pena de privación del derecho a</w:t>
      </w:r>
    </w:p>
    <w:p w:rsidRPr="" w:rsidR="00AD51A7" w:rsidRDefault="00AD51A7">
      <w:pPr>
        <w:rPr/>
      </w:pPr>
      <w:r w:rsidRPr="&lt;w:rPr xmlns:w=&quot;http://schemas.openxmlformats.org/wordprocessingml/2006/main&quot;&gt;&lt;w:szCs w:val=&quot;24&quot; /&gt;&lt;/w:rPr&gt;">
        <w:rPr/>
        <w:t xml:space="preserve">conducir vehículos de motor y ciclomotores y denegar la suspensión de las mismas en cuanto al resto de sus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