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820-2001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820-2001.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15 de febrero de 2001 en el Registro General de este Tribunal, el Asesor Jurídico-Letrado de la Comunidad Foral de Navarra, actuando en representación de esta Administración, interpuso recurso de amparo contra la Sentencia de 10 de enero de 2001, de la Sala de lo Contencioso- Administrativo del Tribunal Superior de Justicia de Navarra, por la que se estima el recurso contencioso-administrativo formulado frente al Acuerdo del Gobierno de Navarra de 3 de agosto de 1998, desestimatorio, a su vez, del recurso ordinario promovido contra la Orden Foral núm. 668/1998, de 9 de febrero, del Consejero de Obras Públicas, Transportes y Comunicaciones,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Por Orden Foral núm. 668/1998, de 9 de febrero, el Consejero de Obras Públicas, Transportes y Comunicaciones impuso a doña Ana Rodríguez Bermejo,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3 de agosto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señora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la notificación o la certificación que hace y firma el Secretario Técnico. Partiendo de esta constatación, considera el órgano judicial que "la resolución sancionadora es nula de pleno derecho por vulneración del derecho a la tutela judicial (artículo 62.1 a Ley 30/1992, en relación al artículo 24 CE)", en la medida en que no hay constancia del acto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persona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esta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pretensión,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Tercera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Tercera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Tercera de este Tribunal acordó la inadmisión a trámite del recurso de amparo promovido por la Comunidad Foral de Navarra frente a la Sentencia de 10 de enero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porque, por otro,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el derecho a obtener de los jueces y tribunales una resolución razonable, motivada y fundada en Derecho.</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820-2001.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