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3521-2001.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22 de junio de 2001 en el Registro General de este Tribunal, la Asesora Jurídica-Letrada de la Comunidad Foral de Navarra, actuando en representación de esta Administración, interpuso recurso de amparo contra la Sentencia de 22 de mayo de 2001, de la Sala de lo Contencioso- Administrativo del Tribunal Superior de Justicia de Navarra, por la que se estima el recurso contencioso-administrativo formulado frente al Acuerdo del Gobierno de Navarra de 15 de junio de 1998, desestimatorio, a su vez, del recurso ordinario promovido contra la Orden Foral núm. 254/1998, de 26 de enero, del Consejero de Obras Públicas, Transportes y Comunicaciones,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a)Por Orden Foral núm. 254/1998, de 26 de enero, el Consejero de Obras Públicas, Transportes y Comunicaciones impuso a la empresa Industrias Cárnicas J. Soberón Sanz,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15 de junio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empresa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la notificación o la certificación que hace y firma el Secretario Técnico. Partiendo de esta constatación, considera el órgano judicial que "la resolución sancionadora es nula de pleno derecho por vulneración del derecho a la tutela judicial (artículo 62.1 a Ley 30/1992, en relación al artículo 24 CE)", en la medida en que no hay constancia del acto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empresa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22 de mayo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3521-2001.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