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6336-2002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Acordar la suspensión de las Sentencias de la Sala de lo Penal del Tribunal Supremo de 11 de septiembre de 2002, en lo relativo a la pena de prisión y accesorias legales impuestas.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8 de noviembre de 2002, el Procurador de los Tribunales don Manuel Monfort Edo, interpuso, en nombre de don José Fernández Martínez, recurso de amparo contra las dos Sentencias de la Sala de lo Penal del Tribunal Supremo de 11 de septiembre de 2002 en virtud de las cuales, casando la Sentencia de la Sección Quinta de la Audiencia Provincial de Murcia (Cartagena), de 13 de noviembre de 2000, resultó condenado como autor de un delito de tráfico de drogas de sustancia que no causa grave daño a la salud (art. 368 CP), con agravante de reincidencia (art. 22.8 CP) a la pena de dos años de prisión, multa de trescientos treinta y ocho euros y trece céntimos, accesorias legales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a ser informado de la acusación y del principio acusatorio, así como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abril de 2004,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27 de abril de 2004, el Ministerio Fiscal interesa la suspensión de la resolución en lo atinente a la condena a pena privativa de libertad y accesorias legales y la denegación de la suspensión de la resolución respecto del resto de los pronunciamientos de la condena. En efecto, en aplicación de la reiterada jurisprudencia de este Tribunal (ATC 256/2003), sostiene, de un lado, que dada la duración de la pena de prisión impuesta -dos años- ha de acordarse su suspensión ya que, de procederse a su ejecución, se causaría al solicitante de amparo un perjuicio que tornaría en inútil el presente procedimiento. Igualmente ha de ser suspendida la ejecución de la resolución en lo relativo a las penas accesorias, pues a estos efectos siguen la suerte de la pena principal. Por último, es criterio del Ministerio Fiscal que no deben suspenderse ni la pena de multa ni la condena en costas, en la medida en que al tratarse de pronunciamientos de contenido meramente económico y por ello susceptibles de restitución íntegra, en caso de un eventual otorgamiento del amparo, no se causarían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28 de abril de 2004, la representación procesal del recurrente de amparo interesa la suspensión de la pena privativa de libertad, aduciendo los perjuicios irreparables que su ejecución comportaría, dado que está plenamente reinsertado -no ha vuelto a estar involucrado en un proceso penal, ha dejado las drogas, está trabajando en una empresa, colabora de forma desinteresada en las actividades de un Club Náutico, tiene pleno apoyo familiar, según consta en los documentos de la ejecutoria dimanante del procedimiento ante la Audiencia Provincial de Murcia- y, dicha suspensión no causaría perturbación grave de los intereses generales, o de los derechos fundamentales o libertades públicas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en la Ley Orgánica del Tribunal Constitucional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En el caso, se ha de examinar la petición de suspensión en relación con la pena privativas de libertad impuesta, accesorias legales -inespecíficamente impuestas-, la multa y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los pronunciamientos de carácter patrimonial, este Tribunal tiene declarado que la ejecución de las Sentencias cuyos efectos son fundamentalmente patrimoniales o de contenido económico ni causan un perjuicio irreparable al obligado al pago por la Sentencia condenatoria, ni el eventual amparo estimado puede perder su finalidad. Pues, en atención al contenido económico del fallo, es legalmente posible, si se otorgara posteriormente el amparo, que el recurrente obtenga la devolución de lo pagado en ejecución de la Sentencia (AATC 573/1985, 574/1985 y 275/1990, 117/1999, por todos). Esta doctrina es igualmente aplicable a la condena en costas procesales, pues al entrañar un pago en dinero, su ejecución no provoca ningún perjuicio que pueda hacer inútil el recurso de amparo (AATC 244/1991, 2092/1992, 267/1995, y 117/1999, entre otros muchos).</w:t>
      </w:r>
    </w:p>
    <w:p w:rsidRPr="00C21FFE" w:rsidR="00AD51A7" w:rsidRDefault="00AD51A7">
      <w:pPr>
        <w:rPr/>
      </w:pPr>
      <w:r w:rsidRPr="&lt;w:rPr xmlns:w=&quot;http://schemas.openxmlformats.org/wordprocessingml/2006/main&quot;&gt;&lt;w:lang w:val=&quot;es-ES_tradnl&quot; /&gt;&lt;/w:rPr&gt;">
        <w:rPr/>
        <w:t xml:space="preserve">Por consiguiente, en atención al carácter excepcional de la suspensión (art. 56 LOTC) ha de denegarse la suspensión de la resolución impugnada en relación con la condena a pena de multa y en costas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suspensión de las penas privativas de libertad este Tribunal tiene establecido (entre muchos, ATC 270/2002), como criterio general, la procedencia de la suspensión en cuanto la ejecución de dichas penas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w:t>
      </w:r>
    </w:p>
    <w:p w:rsidRPr="00C21FFE" w:rsidR="00AD51A7" w:rsidRDefault="00AD51A7">
      <w:pPr>
        <w:rPr/>
      </w:pPr>
      <w:r w:rsidRPr="&lt;w:rPr xmlns:w=&quot;http://schemas.openxmlformats.org/wordprocessingml/2006/main&quot;&gt;&lt;w:lang w:val=&quot;es-ES_tradnl&quot; /&gt;&lt;/w:rPr&gt;">
        <w:rPr/>
        <w:t xml:space="preserve">En aplicación de dichos criterios, como recordábamos recientemente (ATC 39/2004) "en relación con las resoluciones judiciales que condenan a penas privativas de libertad, la suspensión de su ejecución no se sustenta exclusivamente en el criterio de la duración de la pena impuesta, sino que éste se pondera, ciertamente de forma prioritaria, teniendo en cuenta otros. Así, con carácter general este Tribunal no suspende las resoluciones judiciales en lo que afecta a condenas a penas privativas de libertad superiores a cinco años, pero incluso en este caso excepcionalmente se ha acordado la suspensión en los siguientes casos: condenas de seis años (AATC 1260/1988; y 202/1997) u ocho años (ATC 125/1995) en atención al criterio genérico de la pérdida de la finalidad del amparo; condenas a seis años (ATC 253/1997) y doce años por delito de violación (ATC 112/1998), porque el recurrente estaba en libertad, no habiéndose considerado necesario el ingreso en prisión por los órganos judiciales; condenas a seis años (AATC 229/1995; y 235/1999), siete años (AATC 105/1993; 126/1998; 305/2001; y 78/2002), once años (ATC 312/1995) de privación de libertad, por haber cumplido la mitad de la pena".</w:t>
      </w:r>
    </w:p>
    <w:p w:rsidRPr="00C21FFE" w:rsidR="00AD51A7" w:rsidRDefault="00AD51A7">
      <w:pPr>
        <w:rPr/>
      </w:pPr>
      <w:r w:rsidRPr="&lt;w:rPr xmlns:w=&quot;http://schemas.openxmlformats.org/wordprocessingml/2006/main&quot;&gt;&lt;w:lang w:val=&quot;es-ES_tradnl&quot; /&gt;&lt;/w:rPr&gt;">
        <w:rPr/>
        <w:t xml:space="preserve">Además, añadíamos, respecto de condenas a penas privativas de libertad de cinco años, que "la regla general ha sido su suspensión conforme al criterio genérico de la pérdida de eficacia del amparo -atendida su duración y la previsible duración de resolución del proceso de amparo- y a la entidad de la pena en cuanto expresiva del grado de reprobación del hecho por el ordenamiento (AATC 277/1985; 264/1998; 265/1998; y 22/2002), criterios a los que se ha añadido el relativo al tiempo de cumplimiento efectivo de la pena, ya sea por haber estado en prisión preventiva o por haberse ejecutado tras ser firme la condena (ATC 221/2000), y la trayectoria, acreditada documentalmente por el recurrente, posterior a su condena (ATC 270/2002)" [ATC 39/2004].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doctrina expuesta al presente caso, se ha de acordar la suspensión en relación con la pena de prisión de dos años impuesta, ya que, como advierte el Ministerio Fiscal, ponderada la eventual duración del presente proceso de amparo en relación con la de la pena impuesta, la ejecución de la pena de prisión haría perder al amparo, en caso de estimarse, su finalidad. De otra parte, de la duración de la pena impuesta, como magnitud expresiva de la reprobación que el ordenamiento asigna al hecho delictivo -la importancia del bien jurídico tutelado, la gravedad y trascendencia social del delito-, no deriva un interés general superior en su ejecución.</w:t>
      </w:r>
    </w:p>
    <w:p w:rsidRPr="00C21FFE" w:rsidR="00AD51A7" w:rsidRDefault="00AD51A7">
      <w:pPr>
        <w:rPr/>
      </w:pPr>
      <w:r w:rsidRPr="&lt;w:rPr xmlns:w=&quot;http://schemas.openxmlformats.org/wordprocessingml/2006/main&quot;&gt;&lt;w:lang w:val=&quot;es-ES_tradnl&quot; /&gt;&lt;/w:rPr&gt;">
        <w:rPr/>
        <w:t xml:space="preserve">Igual suerte han de correr las penas accesorias legales impuestas, pues, de conformidad con la jurisprudencia constitucional, las penas accesorias siguen la suerte de la principal (entre muchos, AATC 144/1984, 267/1995, 301/1995, 7/1996, 152/1996, 87/1997, 286/1997, 182/1998, 271/1998, 83/2000, y 22/2002).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Acordar la suspensión de las Sentencias de la Sala de lo Penal del Tribunal Supremo de 11 de septiembre de 2002, en lo relativo a la pena de prisión y accesorias legales impuestas.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