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febrero de 2003, don Alberto Hidalgo Martínez, Procurador de los Tribunales, y de don Miguel Barrachina Vicente, interpuso recurso de amparo contra la Sentencia de la Sección Segunda de la Audiencia Provincial de Valencia, de 27 de enero de 2003, que desestima el recurso de apelación interpuesto contra la del Juzgado de lo Penal núm. 5 de Valencia, de 27 de septiembre de 2002, sobre delito de robo con intimidación.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del Juzgado de lo Penal núm. 5 de Valencia, de 27 de septiembre de 2002, como autor de dos delitos de robo con intimidación e instrumento peligroso, con la atenuante de drogadicción, a la pena de tres años, seis meses y un día por cada uno de ellos, accesoria legal y al pago de la sexta parte de las costas y de 120 euros como indemnización (solidariamente con el otro condenado). La Sentencia considera probado que el coencausado Julio Martínez Nacher entró el día 3 de febrero de 2002 en un Video Club, exhibió un cutter de gran tamaño exigiendo "la pasta", por lo que los empleados señalaron el cajón de las monedas, del que tomó 120 euros con los que huyó. El día 9 de febrero de 2002, el acusado volvió a dicho establecimiento y mientras enseñaba al empleado una navaja se dirigió al mismo cajón de donde tomó una cantidad no precisada de dinero. Acto seguido salió y se alejó del lugar a bordo del Toyota MR2 conducido por el recurrente, que le aguardaba en las inmediaciones, pues ambos habían acordado previamente proceder con arreglo a este reparto de funciones y siguiendo el mismo procedimiento que en el hecho primero. b) Dicha Sentencia fue recurrida en apelación, recurso desestimado por Sentencia de la Audiencia Provincial de Valencia, Sección Segunda, de 27 de enero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y a la presunción de inocencia (art. 24.2 CE). Por Otrosí, en la misma demanda, de acuerdo con lo previsto en el art. 56.1 LOTC el demandante solicita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marzo de 2004, la Sección Segunda de este Tribunal acordó la admisión a trámite de la demanda así como, a tenor de lo establecido en el art. 51 LOTC, al constar ya recibidos los testimonios de las actuaciones, requerir atentamente al Juzgado de lo Penal para que emplazase a quienes fueron parte en el procedimiento, a excepción del demandante de amparo, a fin de que pudieran comparecer en el recurso de amparo.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11 de marzo de 2004 tuvo entrada en este Tribunal el escrito de alegaciones del Ministerio Fiscal. En dicho escrito, tras resumir los antecedentes procesales y analizar la doctrina constitucional en materia de suspensión, se considera no procedente acceder a la suspensión solicitada, dado que la pena de prisión impuesta es de más de siete años de duración y se impone por la comisión de delitos patrimoniales de apoderamiento cometidos con el empleo de instrumentos peligrosos, por lo que no se encuentran razones para que el interés del recurrente deba prevalecer sobre los intereses generales. Tampoco considera procedente la suspensión de los demás pronunciamientos condenatorios de las Sentencias recurridas, porque al tratarse de sanciones de naturaleza pecuniaria, de su ejecución no se derivan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15 de marzo de 2004 presentó sus alegaciones el demandante de amparo, reiterando su solicitud de suspensión de la ejecución de la pena. Destaca la demanda que el día 20 de diciembre de 2003 se produjo el ingreso en prisión, voluntariamente tras ser requerido para ello, que su participación en los hechos que se le imputan no es grave, que no existe riesgo de sustracción a la acción de la justicia, pues siempre que se le ha llamado ha acudido, que tiene un impecable comportamiento en prisión y que antes de ingresar en ella llevaba una vida normal y convivía con sus padres, habiéndose rehabilitado de su adicción a las drogas y finalizado sus estudios con buenas calificaciones.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debe conducir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En cuanto a la pena privativa de libertad, la ponderación de intereses que hemos de llevar a cabo nos obliga a considerar, entre otros factores, la gravedad y trascendencia social del delito (robo con intimidación con utilización de instrumento peligroso) y la gravedad de la pena impuesta (siete años), factores que, como argumenta el Ministerio Fiscal, determinan la existencia de un especial interés en la ejecución de las resoluciones judiciales, que debe considerarse preponderante frente al eventual perjuicio causado al recurrente, cuya irreparabilidad, caso de un eventual otorgamiento del amparo, puede atemperarse otorgando al recurso una tramitación preferente.</w:t>
      </w:r>
    </w:p>
    <w:p w:rsidRPr="00C21FFE" w:rsidR="00AD51A7" w:rsidRDefault="00AD51A7">
      <w:pPr>
        <w:rPr/>
      </w:pPr>
      <w:r w:rsidRPr="&lt;w:rPr xmlns:w=&quot;http://schemas.openxmlformats.org/wordprocessingml/2006/main&quot;&gt;&lt;w:lang w:val=&quot;es-ES_tradnl&quot; /&gt;&lt;/w:rPr&gt;">
        <w:rPr/>
        <w:t xml:space="preserve">Por lo que respecta a la pena accesoria de inhabilitación especial impuesta en la Sentencia condenatoria, y conforme a un reiterado criterio jurisprudencial, dicha pena accesoria ha de seguir la misma suerte que la pena principal privativa de libertad, por lo que también procede no acceder a la suspensión instada.</w:t>
      </w:r>
    </w:p>
    <w:p w:rsidRPr="00C21FFE" w:rsidR="00AD51A7" w:rsidRDefault="00AD51A7">
      <w:pPr>
        <w:rPr/>
      </w:pPr>
      <w:r w:rsidRPr="&lt;w:rPr xmlns:w=&quot;http://schemas.openxmlformats.org/wordprocessingml/2006/main&quot;&gt;&lt;w:lang w:val=&quot;es-ES_tradnl&quot; /&gt;&lt;/w:rPr&gt;">
        <w:rPr/>
        <w:t xml:space="preserve">Finalmente, por lo que se refiere a los pronunciamientos de contenido patrimonial -costas procesales e indemnización-, de conformidad con el criterio de este Tribunal, al tratarse de condenas de contenido económico, los perjuicios anejos a su ejecución son perfectamente reparables en caso de estimarse el amparo (AATC 152/1996, 371/1996, 91/1997, 181/1998, 182/1998, 273/1998, 189/2000, 193/2000, 204/2000, 106/2002).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