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1952-2003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 de abril de 2003 la Procuradora de los Tribunales doña Blanca Berriatúa Horta, en nombre de doña María Eugenia García Chazarra, formuló demanda de amparo constitucional contra la Sentencia de 5 de marzo de 2003 dictada por la Audiencia Provincial de Alicante (sede en Elche) en recurso de apelación contra Sentencia dictada por el Juzgado de Instrucción núm. 6 de Torrevieja en juicio de faltas núm. 52-2003.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sucintamente expuestos, los siguientes: Como consecuencia de la denuncia formulada por dos policías locales se siguió juicio de faltas contra la demandante de amparo y su hermano. Celebrado el juicio oral el Juez de Instrucción condenó al hermano de la demandante como autor de una falta continuada de desobediencia a agentes de la autoridad y absolvió a la demandante de amparo por entender que su conducta no podía ser calificada de desobediencia, sino de coacciones. Ahora bien, no habiéndose formulado acusación por falta de coacciones, y no existiendo homogeneidad entre las infracciones penales, procedía la absolución por aplicación del principio acusatorio, que también rige en el juicio de faltas. La Sentencia fue apelada por el hermano de la demandante (en cuanto a su condena) y por los dos policías locales en lo relativo de la absolución de la demandante de amparo, respecto de la cual solicitaron que fuera condenada como autora de una falta de coacciones asumiendo la calificación jurídica efectuada por el Juez de Instrucción. El Juzgado dio traslado a las demás partes de los escritos de apelación y se formularon los correlativos escritos de impugnación. Cuando se dio traslado de los recursos formulados al Ministerio público éste interesó la desestimación del recurso de apelación deducido por el hermano, pero, en cambio, se adhirió al recurso de apelación de los policías locales y solicitó la condena de la demandante como autora de una falta de desobediencia (art. 634 CC) en los mismos términos en que había sido condenado el hermano. Sin dar traslado de este escrito a ninguna de las partes se remitieron los autos a la Audiencia, la cual, sin celebrar vista, dictó Sentencia condenando a la demandante por una falta de desobediencia a agentes de la autoridad, tal como había interesado el Fiscal, imponiendo una pena de veinte días a razón de seis euros diarios.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queja sustancial que fundamenta la demanda de amparo se puede sintetizar en la posición de indefensión en que se colocó a la demandante de amparo cuando fue condenada merced a un recurso de apelación adhesivo del Ministerio público del que no tuvo conocimiento, lo que le impidió contradecir la acusación que se formulaba en la segunda instancia y vulneró su derecho a conocer la acusación y a un juicio con todas las garantías (art. 24 CE). Por otrosí se solicita la suspensión de la ejecución de la Sentencia aduciendo que, aun cuando la pena impuesta es pecuniaria y de una cuantía no muy elevada, la ejecución sí tendría “los consiguientes efectos dentro del ámbito administrativo municipal, en orden al puesto representativo que ocupa” la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tres de junio de 2004, la Sala, tras admitir a trámite el presente recurso de amparo, acordó formar la oportuna pieza para la tramitación del incidente sobre suspensión y, conforme determina el art. 56 de la Ley Orgánica de este Tribunal, conceder un plazo de tres días a la parte recurrente y al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demandante de amparo formuló alegaciones el 14 de junio de 2004, reiterando la solicitud de suspensión de la ejecución y razonando a tal efecto que, aun cuando la pena impuesta sea de multa, su ejecución supone un descrédito para su persona si se tiene en cuenta que ostentó el cargo de Concejal del Ayuntamiento en la anterior legislatura.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público, mediante escrito registrado el 16 de junio de 2004, mostró su parecer contrario a la suspensión. Tras recoger la doctrina constitucional aplicable al caso razona que, al tratarse de una pena económica fácilmente reparable en el supuesto de estimarse el amparo, no es procedente la suspensión, sin que pueda atenderse a tal efecto al aducido daño moral que ocasionaría a la demandante la condena en relación al cargo político que ostentaba.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  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 Más en concreto, en cuanto a la ejecución de las sentencias penales que condenan al pago de una multa, nuestra doctrina viene señalando (como se recuerda en los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las anteriores consideraciones conducen a denegar la suspensión de la pena de multa impuesta, pues la escasa cuantía de la misma (treinta días de arresto a razón de seis euros diarios) no permite separarse del criterio general contrario a la suspensión de este tipo de pronunciamientos judiciales, como tampoco el aducido descrédito que en su consideración pública pudiera tener la condena impuesta, pues, además de no ser tal alegación atendible, dicho descrédito derivaría del hecho mismo de la condena y no del cumplimiento de la pena pecuniaria impuesta.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