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22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Segunda de la Audiencia Provincial de Málaga de 26 de noviembre de 2002, exclusivamente en lo referente a la pena privativa de libertad de un año de prisión y a la accesoria legal de inhabilitación</w:t>
            </w:r>
          </w:p>
          <w:p w:rsidRPr="00D13423" w:rsidR="00AD51A7" w:rsidRDefault="00AD51A7">
            <w:pPr>
              <w:rPr/>
            </w:pPr>
            <w:r w:rsidRPr="&lt;w:rPr xmlns:w=&quot;http://schemas.openxmlformats.org/wordprocessingml/2006/main&quot;&gt;&lt;w:color w:val=&quot;800080&quot; /&gt;&lt;w:szCs w:val=&quot;24&quot; /&gt;&lt;/w:rPr&gt;">
              <w:rPr/>
              <w:t xml:space="preserve">especial para el ejercicio del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 de enero de 2003, doña Isabel Díaz Solano, Procuradora de los Tribunales, y de don José Macías Rojas, asistida por la Letrada doña Cecilia Pérez Raya, interpuso recurso de amparo contra la Sentencia de la Sección Segunda de la Audiencia Provincial de Málaga de 26 de noviembre de 2002, recaída en apelación contra la dictada por el Juzgado de lo penal núm. 9 de la misma ciudad, en procedimiento abreviado 267/99, seguido por delito de contrabando.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a) El ahora demandante de amparo fue inicialmente absuelto del delito de contrabando del que venía siendo acusado, por Sentencia del Juzgado de lo Penal núm. 8 de Málaga de 15 de octubre de 1998. Dicha Sentencia consideraba nulas, por vulneración del art. 18.3 CE, las escuchas telefónicas realizadas y las diligencias de ellas derivadas. </w:t>
      </w:r>
    </w:p>
    <w:p w:rsidRPr="00C21FFE" w:rsidR="00AD51A7" w:rsidRDefault="00AD51A7">
      <w:pPr>
        <w:rPr/>
      </w:pPr>
      <w:r w:rsidRPr="&lt;w:rPr xmlns:w=&quot;http://schemas.openxmlformats.org/wordprocessingml/2006/main&quot;&gt;&lt;w:lang w:val=&quot;es-ES_tradnl&quot; /&gt;&lt;/w:rPr&gt;">
        <w:rPr/>
        <w:t xml:space="preserve">b) La anterior resolución fue recurrida en apelación por el Ministerio fiscal y la acusación particular. Por Sentencia de la Audiencia Provincial de Málaga de 10 de marzo de 1999, se anula la anterior resolución, ordenando que se celebre nueva vista oral, con práctica de la prueba denegada y valoración de la misma, por ser adecuada a derecho, y se dicte Sentencia conforme a la ley. La citada prueba consiste en el resultado de las intervenciones telefónicas, que la Audiencia considera lícitas. </w:t>
      </w:r>
    </w:p>
    <w:p w:rsidRPr="00C21FFE" w:rsidR="00AD51A7" w:rsidRDefault="00AD51A7">
      <w:pPr>
        <w:rPr/>
      </w:pPr>
      <w:r w:rsidRPr="&lt;w:rPr xmlns:w=&quot;http://schemas.openxmlformats.org/wordprocessingml/2006/main&quot;&gt;&lt;w:lang w:val=&quot;es-ES_tradnl&quot; /&gt;&lt;/w:rPr&gt;">
        <w:rPr/>
        <w:t xml:space="preserve">c) Por Sentencia del Juzgado de lo Penal núm. 9 de Málaga de 16 de abril de 2002, se condena al ahora demandante de amparo y a otras tres personas, como autores de un delito de contrabando de tabaco, a las penas de dos años de prisión, con inhabilitación especial para el ejercicio del derecho de sufragio pasivo durante el tiempo de la condena, multa de 240.404,84 euros (40.000.000 de pesetas), con ciento ochenta días de privación de libertad como responsabilidad personal subsidiaria en caso de impago, así como al pago de las costas por partes iguales y a indemnizar a la Hacienda pública en la cantidad que se determine en ejecución de sentencia como la correspondiente al importe de la deuda tributaria defraudada. </w:t>
      </w:r>
    </w:p>
    <w:p w:rsidRPr="00C21FFE" w:rsidR="00AD51A7" w:rsidRDefault="00AD51A7">
      <w:pPr>
        <w:rPr/>
      </w:pPr>
      <w:r w:rsidRPr="&lt;w:rPr xmlns:w=&quot;http://schemas.openxmlformats.org/wordprocessingml/2006/main&quot;&gt;&lt;w:lang w:val=&quot;es-ES_tradnl&quot; /&gt;&lt;/w:rPr&gt;">
        <w:rPr/>
        <w:t xml:space="preserve">La Sentencia considera probado que el acusado Manuel Tello Altamirano acordó con José Macías Rojas la compra de una partida no determinada de cajas de tabaco, que éste introducía en España importándolo ilícitamente. La mercancía fue descargada y almacenada en una nave industrial, donde fue interceptada por funcionarios del Servicio de Vigilancia Aduanera. La existencia del delito resulta acreditada por el hallazgo de las cajas de tabaco en la nave de otro de los condenados. Respecto de la participación en el mismo del demandante de amparo, la Sentencia hace referencia como prueba de cargo a “la testifical... y el examen de las actuaciones, concretamente las escuchas telefónicas”, cuya validez se afirma por remisión a la Sentencia de la Audiencia Provincial de Málaga de 10 de marzo de 1999, que ordenaba celebrar de nuevo el juicio. </w:t>
      </w:r>
    </w:p>
    <w:p w:rsidRPr="00C21FFE" w:rsidR="00AD51A7" w:rsidRDefault="00AD51A7">
      <w:pPr>
        <w:rPr/>
      </w:pPr>
      <w:r w:rsidRPr="&lt;w:rPr xmlns:w=&quot;http://schemas.openxmlformats.org/wordprocessingml/2006/main&quot;&gt;&lt;w:lang w:val=&quot;es-ES_tradnl&quot; /&gt;&lt;/w:rPr&gt;">
        <w:rPr/>
        <w:t xml:space="preserve">d) Contra la anterior resolución se interpuso recurso de apelación, parcialmente estimado por Sentencia de la Audiencia Provincial de Málaga, Sección Segunda, de 26 de noviembre de 2002, por estimar la existencia de dilaciones indebidas, rebajando la pena de prisión a un año, y manteniendo el resto de los pronunciamientos condenatorios. Esta Sentencia vuelve a remitirse a la de 10 de marzo de 1999 para afirmar la validez de las escuchas telefónicas, citando la STC 82/2002. Por lo que respecta a la prueba de cargo practicada, se destaca el hallazgo de las cajas de tabaco en la nave de Francisco Luis Chiquero Santiago, mediante un registro efectuado en presencia de su propietario, unido al resultado de las escuchas telefónicas, que demuestran que José Macías y Manuel Tello fueron quienes ultimaron la operación de compraventa de tabaco de contrabando, como ratificaron en el acto del juicio los funcionarios del Servicio de Vigilancia Aduanera.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al secreto de las comunicaciones (art. 18.3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se deje en suspenso la ejecución de las penas privativas de libertad,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abril de 2004 la Sección Primera de este Tribunal acordó la admisión a trámite de la demanda así como, a tenor de lo establecido en el artículo 51 LOTC, requerir atentamente a la Sección Segunda de la Audiencia Provincial de Málaga y al Juzgado de lo Penal núm. 9 de Málaga para que remitieran testimonio de las actuaciones, interesándose al tiempo que emplazasen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abril de 2004 se registró en este Tribunal el escrito de alegaciones del demandante de amparo, quien reitera la solicitud de suspensión, porque dada la duración de la pena impuesta su ejecución haría perder al amparo su finalidad, añadiendo que con ello no se causa ningún perjuicio, haciendo constar que el Juzgado ya acordó en su día la suspensión de la condena, pese a lo cual esta situación puede ser revocada, por lo que procede el pronunciamiento de este Tribunal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26 de abril de 2004, realiza sus alegaciones el Ministerio Fiscal. En dicho escrito, tras un breve relato de los antecedentes procesales del caso y de la doctrina de este Tribunal, reproduciendo el ATC 256/2003, sostiene que debe accederse a la suspensión solicitada. </w:t>
      </w:r>
    </w:p>
    <w:p w:rsidRPr="00C21FFE" w:rsidR="00AD51A7" w:rsidRDefault="00AD51A7">
      <w:pPr>
        <w:rPr/>
      </w:pPr>
      <w:r w:rsidRPr="&lt;w:rPr xmlns:w=&quot;http://schemas.openxmlformats.org/wordprocessingml/2006/main&quot;&gt;&lt;w:lang w:val=&quot;es-ES_tradnl&quot; /&gt;&lt;/w:rPr&gt;">
        <w:rPr/>
        <w:t xml:space="preserve">Tras destacar que el demandante sólo ha solicitado la suspensión de las penas privativas de libertad, esto es, la pena de prisión de un año y el arresto sustitutorio en caso de impago de la multa, se afirma que, respecto de la pena de prisión de un año, dada su extensión, debe accederse a la suspensión, pues de lo contrario se ocasionaría un perjuicio irreparable, que dejaría en entredicho la finalidad de un eventual fallo estimatorio, sin que se aprecie que dicha suspensión lesione intereses generales. La pena de inhabilitación, al ser accesoria, debe seguir la misma suerte que la principal, aunque su suspensión no haya sido solicitada. Y, finalmente, el Fiscal no se opone a la suspensión de la responsabilidad personal subsidiaria en caso de impago de la multa, pues pese a que según doctrina mayoritaria del Tribunal no procede la suspensión (al tratarse de una eventualidad incierta que de sobrevenir podría dar lugar a la modificación de la medida, ATC 48/2003), sin embargo recientemente el ATC 57/2004 ha estimado procedente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(un año)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(que no se trata de un delito de especial gravedad, que la pena impuesta es de corta duración), no se aprecia que acceder a la suspensión solicitada ocasione una lesión específica y grave del interés general, más allá de aquélla que de por sí produce la no ejecución de un fallo judicial (AATC 163/1996, 419/1997, 48/1998, 262/1998, 106/2002).</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del derecho de sufragio pasivo durante el tiempo de la condena, pues, como señala el Ministerio Fiscal, conforme a nuestra jurisprudencia las penas accesorias han de seguir la misma suerte que la principal (AATC 114/1984, 267/1995, 286/1997, 258/2000, 63/2001, 106/2002).</w:t>
      </w:r>
    </w:p>
    <w:p w:rsidRPr="00C21FFE" w:rsidR="00AD51A7" w:rsidRDefault="00AD51A7">
      <w:pPr>
        <w:rPr/>
      </w:pPr>
      <w:r w:rsidRPr="&lt;w:rPr xmlns:w=&quot;http://schemas.openxmlformats.org/wordprocessingml/2006/main&quot;&gt;&lt;w:lang w:val=&quot;es-ES_tradnl&quot; /&gt;&lt;/w:rPr&gt;">
        <w:rPr/>
        <w:t xml:space="preserve">Finalmente y en cuanto a la responsabilidad personal subsidiaria para el caso de impago de la pena de multa, ha de recordarse que en numerosas ocasiones este Tribunal ha denegado la suspensión de esta pena, por tratarse de una eventualidad incierta en este momento, que depende de que la multa no llegue a ser abonada voluntariamente o por la vía de apremio y que, de sobrevenir esta eventualidad futura, ello podría dar lugar a la modificación de la medida cautelar que ahora se adopta, en virtud de lo establecido en el art. 57 LOTC (AATC 107/1998, 136/1999, 227/1999, 245/1999 y 61/2000), sin que por tanto proceda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Segunda de la Audiencia Provincial de Málaga de 26 de noviembre de 2002, exclusivamente en lo referente a la pena privativa de libertad de un año de prisión y a la accesoria legal de inhabilitación</w:t>
      </w:r>
    </w:p>
    <w:p w:rsidRPr="" w:rsidR="00AD51A7" w:rsidRDefault="00AD51A7">
      <w:pPr>
        <w:rPr/>
      </w:pPr>
      <w:r w:rsidRPr="&lt;w:rPr xmlns:w=&quot;http://schemas.openxmlformats.org/wordprocessingml/2006/main&quot;&gt;&lt;w:szCs w:val=&quot;24&quot; /&gt;&lt;/w:rPr&gt;">
        <w:rPr/>
        <w:t xml:space="preserve">especial para el ejercicio del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