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4251-2003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27 de junio de 2003, procedente del Juzgado de guardia de Madrid, el Procurador de los Tribunales don José Ángel Donaire Gómez, en representación de don Argelio Lázaro Laguardia, formuló demanda de amparo constitucional contra el Auto núm. 67/2003, de 23 de mayo de 2003, del Pleno de la Sala de lo Penal de la Audiencia Nacional, dictado en el proceso de extradición núm. 43-2002, del Juzgado Central de Instrucción núm. 6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EEUU solicitaron la extradición del demandante de amparo por haber sido condenado por un delito de tráfico de drogas, así como para ser juzgado por un delito de desobediencia por incomparecencia a los llamamientos judiciales, extradición que fue concedida por la Audiencia Nacional y luego por el Pleno de la Sala de lo Penal de dicho Tribunal resolviendo recurso de súplica oportunamente deducido.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aduce en primer lugar la vulneración del derecho a la tutela judicial efectiva y del principio de legalidad (arts. 24.1 y 25.1 CE), por cuanto el delito para el que se ha solicitado la extradición habría prescrito en España, pues, aun contando con que fuese aplicable la agravación de notoria importancia, habrían transcurrido los diez años de prescripción que corresponden a una pena no superior a prisión mayor según el Código penal de 1973, aplicable en razón de la fecha de los hechos. Entiende que ha de estarse al plazo de prescripción del delito y no al de la pena porque fue juzgado en rebeldía y, por ello, la Sentencia condenatoria no es firme, al tener derecho, según el ordenamiento procesal del estado requirente, a un nuevo juicio. En segundo término el demandante de amparo alega que no procede su entrega porque adquirió la nacionalidad española, y la postura de la Audiencia Nacional ha sido siempre la de negar la extradición de los nacionales, conforme al art. 3.1 de la Ley de extradición pasiva. De otra parte considera que no está justificada la apreciación de fraude en su adquisición de la nacionalidad española, pues cuando la obtuvo llevaba ya mucho tiempo residiendo en España, donde, por otra parte, tiene arraigo suficiente como para denegar la extradición.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tres de junio de 2004 la Sección Cuarta de este Tribunal acordó, de conformidad con lo dispuesto en el art. 50.3 LOTC, conceder al demandante de amparo y al Ministerio público el plazo común de diez días para que formulasen,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formuló alegaciones mediante escrito presentado el 29 de junio de 2004, interesando en ellas la inadmisión de la demanda por carecer manifiestamente de contenido constitucional. Tras repasar los principales hitos del proceso extradicional y de las razones aducidas por el demandante aborda la queja relativa a la prescripción del delito mediante la cita, y la reproducción parcial, de la doctrina constitucional que somete el enjuiciamiento de la aplicación judicial del instituto de la prescripción al canon del art. 24.1 CE, esto es, a la apreciación de la existencia en el caso de una respuesta irrazonable, arbitraria, o incursa en error patente. Analiza así la argumentación vertida por los órganos judiciales en relación a esta cuestión, sobre la que luego seremos más explícitos, y concluye en la superación del canon de control de constitucionalidad a que acabamos de referirnos. Adicionalmente aborda la cuestión de si se vulnera o no el principio de legalidad y se causa o no indefensión por no denegar la extradición a quien goza de la nacionalidad española. Recuerda a tal efecto la doctrina sentada por este Tribunal en cuanto a la extradición de nacionales (SSTC 87/2000 y 102/2000), según la cual habrá de utilizarse un canon de control reforzado al estar en juego derechos fundamentales sustantivos tales como la libertad (art. 17 CE) y la libertad de residencia y de entrada y salida del territorio del Estado (art. 19 CE). Razona que, al estar establecido el sistema de fuentes en el art. 13.3 CE, y no tener rango constitucional sino legal la prohibición de entrega de los nacionales, y al resultar expresamente prevista en un tratado la entrega de nacionales, la interpretación judicial favorable a la entrega no puede tildarse de arbitraria o irrazonable, pues las resoluciones judiciales contienen un pormenorizado análisis de las circunstancias concurrentes y de la normativa aplicable, discrepando el demandante de la valoración que se ha efectuado de sus circunstancias personales hasta concluir en el carácter fraudulento de la adquisición de la nacionalidad.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la audiencia del Ministerio público hemos de confirmar nuestro inicial criterio acerca de la carencia manifiesta de contenido constitucional de la demanda.  En efecto, la demanda de amparo trata de rebatir la argumentación del Auto recurrido en cuanto a la aplicación de aspectos de legalidad ordinaria, como la posibilidad de entrega de los nacionales, o de pura apreciación de hechos tales como la existencia de arraigo o de fraude en la adquisición de la nacionalidad, pero no conecta tales pretendidas vulneraciones de la legalidad ordinaria con la vulneración de derecho fundamental alguno, de suerte que el canon de enjuiciamiento al que ha de someterse la resolución judicial impugnada habrá de ser el de la exigencia de motivación e interdicción de la arbitrariedad y error patente. Pues bien, las resoluciones judiciales recurridas razonan que no existe en el art. 13 CE (derecho por otra parte no amparable) una prohibición de entrega de los nacionales, sino que tal prohibición tiene origen legal (art. 3.1 Ley de extradición pasiva) en defecto de convenio de extradición, convenio que existe con los EEUU y que prevé expresamente la posibilidad de entrega de los nacionales. No está de más recordar ahora que esta forma de razonar ha sido expresamente admitida como constitucionalmente respetuosa con el derecho aducido en resoluciones como la STC 102/2000, de 10 de abril, FJ 8, a la que alude también el Ministerio Fiscal. A lo anterior los órganos judiciales añaden las razones por las que, aun siendo factible tal negativa en aplicación del convenio con el Estado requirente, no se entiende justificada en este caso (total garantía de nuevo enjuiciamiento a presencia del demandante, inexistencia de arraigo, uso fraudulento de la nacionalidad española, conservación del vínculo con EEUU de donde los hijos del demandante son nacionales, utilización de documentación falsa, entre otros motivos), por lo que ninguna vulneración del derecho fundamental a la tutela judicial efectiva se ha producido al superarse el canon de enjuiciamiento antes enunciado.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se refiere a la alegación de prescripción, que el demandante de amparo vincula con el derecho fundamental a la legalidad penal (art. 25.1 CE), ha de señalarse que, si bien las resoluciones judiciales contienen una declaración genérica de que el plazo de prescripción no ha transcurrido, sin concretar cuál es tal plazo, también lo es que el demandante, para llegar a afirmar la procedencia de aplicar el plazo de diez años, silencia la concurrencia de la agravante de organización junto con la de notoria importancia de la sustancia intervenida, lo que hace que el plazo de prescripción legalmente previsto, en aplicación de las conocidas reglas penológicas a las que alude el Fiscal, sea de quince años y no de diez (como se sostiene en la demanda). Pero sobre todo ha de tenerse en cuenta que, tal como se razona en las resoluciones judiciales, a tenor de la norma convencional con el Estado requirente basta con que éste declare que según su legislación no se ha producido la prescripción para que no proceda la revisión de la prescripción según la legislación española, norma convencional que se impone como de prioritaria aplicación. En todo caso es doctrina constante de este Tribunal que la prescripción de los delitos es una cuestión de legalidad ordinaria que, en principio, resulta ajena a los derechos enunciados por el art. 24 CE. La STC 157/1990, FJ 5, ha consolidado el criterio, mantenido desde las iniciales SSTC 152/1987, 255/1988 y 83/1989, de que «la apreciación, en cada caso concreto, de la concurrencia o no de la prescripción como causa extintiva de la responsabilidad penal es una cuestión de mera legalidad que corresponde decidir a los Tribunales ordinarios y que carece de relevancia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