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4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4132-2003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dar lugar a la suspensión solicitada respecto de la ejecución de la reseñada Sentencia de 29 de mayo de 2003, de la Sección Tercera de la Audiencia Provincial de Almería.  Notifíquese a la parte recurrente y al Ministerio Fiscal.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24 de junio de 2003 el Procurador de los Tribunales don Javier Lorente Zurdo, en nombre de doña María Isabel Fernández Romero y doña Antonia Fernández Romero, formuló demanda de amparo constitucional contra la Sentencia de 29 de mayo de 2003 dictada por la Audiencia Provincial de Almería (Sección Tercera) en recurso de apelación contra Sentencia dictada por el Juzgado de lo Penal núm. 1 de Almería en fecha 4 de noviembre de 2002 en procedimiento abreviado núm. 388-2003.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 El Juzgado de lo Penal núm. 1 de los de Almería dictó Sentencia de fecha 4 de noviembre de 2002 absolviendo a las demandantes de amparo de los delitos de lesiones y contra la Administración pública de que se les acusó, con costas de oficio. El Juzgador consideró que se encontraba ante un caso de versiones contradictorias. Interpuesto recurso de apelación por el Ministerio Fiscal y la acusación particular, esta última parte solicitó en su recurso la práctica de diversas pruebas testificales en la segunda instancia, que fueron rechazadas. Entre estas pruebas no se encontraban el interrogatorio de las acusadas ni la nueva declaración de la acusación particular. La Audiencia Provincial dictó Sentencia, de fecha 29 de mayo de 2003, que condenó a las ahora demandantes como autoras de un delito de lesiones, a la pena de tres meses de multa, indemnización y costas. En la Sentencia se indica que la testifical de la víctima, que se ha mantenido incólume a lo largo del procedimiento, y cuya credibilidad ha sido puesta en tela de juicio por el juzgador debido a la enemistad previa con las acusadas, es considerada sin embargo suficiente por el Tribunal como prueba inculpatoria.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queja sustancial que fundamenta la demanda de amparo se puede sintetizar en la vulneración del derecho fundamental a un proceso con todas las garantías, por cuanto no se reprodujo en la fase de apelación, ante la Audiencia Provincial, la prueba testifical practicada en la vista oral en la primera instancia, de modo que el tribunal valoró esta prueba exclusivamente en función de la referencia que se contiene en el acta del juicio oral, lo que vulneraría los principios de inmediación y contradicción. Por otrosí se solicita la suspensión de la ejecución de la pena impuesta.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julio de 2004, la Sala, tras admitir a trámite el presente recurso de amparo, acordó formar la oportuna pieza para la tramitación del incidente sobre suspensión y, conforme determina el art. 56 de la Ley Orgánica de este Tribunal, conceder un plazo de tres días a la parte recurrente y al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público, mediante escrito registrado el 29 de julio de 2004, tras recoger la doctrina constitucional aplicable al caso razona que, al tratarse de una pena económica fácilmente reparable en el supuesto de estimarse el amparo, no es procedente la suspensión, y ello sin perjuicio de que en el caso de que no fuere abonada la multa impuesta y se declarare de forma subsidiaria el cumplimiento de una responsabilidad personal sustitutoria, deba procederse a la suspensión de tal penal, pues no se aprecia que acceder a la suspensión del período de privación de libertad que correspondiere imponer a tenor del art. 53 CP ocasione una lesión grave y específica del interés general, más allá de aquélla que de por sí produce la no ejecución de un fallo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las demandantes de amparo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  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otra parte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lo que no resulta procedente acordar la suspensión (por todos, ATC 159/2001, de 18 de junio, FJ 2 y las resoluciones allí citadas), máxime si el recurrente no aduce razón alguna que justifique la procedencia de la suspensión en su caso concreto por los irreparables perjuicios que pudiera acarrearle la imposibilidad material de atender al pago, frustrando así la finalidad del amparo impetrado (por todos, ATC 249/2000, de 30 de octubre, FJ 2 y resoluciones allí citadas). Más en concreto, en cuanto a la ejecución de las sentencias penales que condenan al pago de una multa, nuestra doctrina viene señalando (como se recuerda en los AATC 135/1999, de 31 de mayo, FJ 3, 83/2001, de 23 de abril, FJ 2 y 261/2001, de 15 de octubre, FJ 4) que la ejecución del pago de la multa no lleva consigo, como regla, la producción de perjuicios irreparables para el condenado a su cumplimiento, de tal manera que la ejecución de la sentencia firme respecto de tales pronunciamientos de contenido económico no determina la pérdida de la finalidad del amparo promovido, dado que cabe la íntegra restitución de lo que fue objeto de ejecución o cumplimiento en el caso de una eventual estimación del recurso de amparo que así lo ordenase.  Tampoco procede, en el momento actual, la suspensión de la responsabilidad personal subsidiaria para el caso de impago de la pena de multa, pues se trata de una eventualidad futura, que de sobrevenir (por falta de abono voluntario o en vía de apremio) podría dar lugar a la modificación de la medida cautelar que ahora se adopta en virtud de lo establecido en el art. 57 LOTC (AATC 107/1998, 136/1999, 227/1999, 245/1999, 61/2000, 41/2002, 362/2003, 409/2003).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dar lugar a la suspensión solicitada respecto de la ejecución de la reseñada Sentencia de 29 de mayo de 2003, de la Sección Tercera de la Audiencia Provincial de Almería.  Notifíquese a la parte recurrente y al Ministerio Fiscal.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