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a la pena privativa de libertad se refiere y a la responsabilidad personal subsidiaria por impago de multas.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lo tocante al resto de los pronunciamientos contenidos en las resoluciones recurridas.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20 de enero de 2004, el Procurador de los Tribunales don Adolfo Morales Hernández-Sanjuan, en nombre y representación de don Manuel Ferrera Benítez, interpuso recurso de amparo contra la Sentencia de la Sala Segunda del Tribunal Supremo de 28 de noviembre de 2003, por la que se estimó parcialmente el recurso de casación interpuesto contra la Sentencia de la Sección Sexta de la Audiencia Provincial de Barcelona de 31 de julio de 2000, dictada en procedimiento seguido por delito contra la Hacienda pública.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31 de julio de 2000, la Sección Sexta de la Audiencia Provincial de Barcelona dictó una Sentencia en la que condenaba al demandante de amparo, como cómplice de cuatro delitos contra la Hacienda pública, a las siguientes penas: 1) un año y tres meses de prisión, con la accesoria de inhabilitación especial para el derecho de sufragio pasivo durante el tiempo de la condena, y multa por importe de 640.000.000 de pesetas, con responsabilidad personal subsidiaria por tiempo de seis meses, por el primer delito; 2) seis meses de arresto mayor, con idéntica pena accesoria, y multa por importe de 33.500.000 pesetas, con responsabilidad personal subsidiaria por tiempo de dos meses, por el segundo; 3) un año y tres meses de prisión, con idéntica pena accesoria, y multa por importe de 205.000.000 de pesetas, con responsabilidad personal subsidiaria por tiempo de cuatro meses, por el tercero; y 4) seis meses de arresto mayor, con idéntica pena accesoria, y multa por importe de 19.500.000 pesetas, con responsabilidad personal subsidiaria por tiempo de dos meses, por el cuarto. En dicha Sentencia se le condenaba además a indemnizar a la Agencia Especial de la Administración Tributaria en la cantidad de 1.715.383.204 pesetas y al pago de la decimotercera parte de las costas procesales. </w:t>
      </w:r>
    </w:p>
    <w:p w:rsidRPr="00C21FFE" w:rsidR="00AD51A7" w:rsidRDefault="00AD51A7">
      <w:pPr>
        <w:rPr/>
      </w:pPr>
      <w:r w:rsidRPr="&lt;w:rPr xmlns:w=&quot;http://schemas.openxmlformats.org/wordprocessingml/2006/main&quot;&gt;&lt;w:lang w:val=&quot;es-ES_tradnl&quot; /&gt;&lt;/w:rPr&gt;">
        <w:rPr/>
        <w:t xml:space="preserve">b) Presentado por el demandante recurso de casación contra la anterior resolución, fue parcialmente estimado, por Sentencia de la Sala Segunda del Tribunal Supremo de 28 de noviembre de 2003, notificada a la representación del recurrente el día 23 de diciembre de ese mismo año, en el sentido de rebajarse en un grado las penas que le fueron impuestas en instancia por aplicación de las reglas del CP 1973. En consecuencia, su condena quedó como sigue: cuatro meses de arresto mayor, por el primer delito; dos meses de arresto mayor, por el segundo; cuatro meses de arresto mayor, por el tercero; y dos meses de arresto mayor, por el cuarto. Asimismo le fueron rebajados los tiempos de arresto sustitutorio por impago de cada una de las cuatro multas, quedando los mismos reducidos a dos meses, en el caso de las multas relativas al primer y al tercer delito, y a un mes en el caso de las correspondientes al segundo y cuarto delito. Se le añadió, además, en esta sede la pena accesoria de pérdida de la posibilidad de obtener subvenciones públicas o crédito oficial, y del derecho a gozar de beneficios o incentivos fiscales durante dos años por cada uno de los cuatro delitos. </w:t>
      </w:r>
    </w:p>
    <w:p w:rsidRPr="00C21FFE" w:rsidR="00AD51A7" w:rsidRDefault="00AD51A7">
      <w:pPr>
        <w:rPr/>
      </w:pPr>
      <w:r w:rsidRPr="&lt;w:rPr xmlns:w=&quot;http://schemas.openxmlformats.org/wordprocessingml/2006/main&quot;&gt;&lt;w:lang w:val=&quot;es-ES_tradnl&quot; /&gt;&lt;/w:rPr&gt;">
        <w:rPr/>
        <w:t xml:space="preserve">Se alega en la demanda que las resoluciones recurridas han vulnerado los derechos del solicitante de amparo a la tutela judicial efectiva sin indefensión y a la legalidad penal, respectivamente reconocidos en los arts. 24.1 y 25.1 CE. </w:t>
      </w:r>
    </w:p>
    <w:p w:rsidRPr="00C21FFE" w:rsidR="00AD51A7" w:rsidRDefault="00AD51A7">
      <w:pPr>
        <w:rPr/>
      </w:pPr>
      <w:r w:rsidRPr="&lt;w:rPr xmlns:w=&quot;http://schemas.openxmlformats.org/wordprocessingml/2006/main&quot;&gt;&lt;w:lang w:val=&quot;es-ES_tradnl&quot; /&gt;&lt;/w:rPr&gt;">
        <w:rPr/>
        <w:t xml:space="preserve">En apoyo de la primera de dichas vulneraciones de derechos fundamentales, se argumenta que la Sentencia dictada en sede de casación habría incurrido en incongruencia omisiva al no haber ofrecido respuesta individualizada al quinto motivo de su recurso de casación, en el que alegaba como vulnerado el derecho a la legalidad penal. Pues pese a que tal alegación fue contestada, más o menos motivadamente, en relación con los recursos presentados por los otros condenados, el enfoque que a la misma había dado el actor era distinto y, por lo tanto, merecía una respuesta específica. </w:t>
      </w:r>
    </w:p>
    <w:p w:rsidRPr="00C21FFE" w:rsidR="00AD51A7" w:rsidRDefault="00AD51A7">
      <w:pPr>
        <w:rPr/>
      </w:pPr>
      <w:r w:rsidRPr="&lt;w:rPr xmlns:w=&quot;http://schemas.openxmlformats.org/wordprocessingml/2006/main&quot;&gt;&lt;w:lang w:val=&quot;es-ES_tradnl&quot; /&gt;&lt;/w:rPr&gt;">
        <w:rPr/>
        <w:t xml:space="preserve">Por lo que hace a la pretendida lesión del derecho contenido en el art. 25.1 CE, el demandante la estima cometida por entender que la respuesta ofrecida por la Sala Segunda en el sentido de que no se trataba de un fraude de ley sino de una simulación habría vulnerado los principios de subsidiariedad y de última ratio, ya que el fraude de ley nunca podría ser un medio o elemento de un fraude fiscal sin que ello resultase contrario a la exigencia de lex certa y, en consecuencia, previsible.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julio de 2004,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30 de julio de 2004 en el que, de conformidad con la reiterada doctrina dictada al respecto por este Tribunal, consideraba procedente la suspensión, exclusivamente, de la ejecución de la pena privativa de libertad impuesta al demandante de amparo, no debiendo alcanzar tal efecto al resto de los pronunciamientos contenidos en la sentencia, incluida la pena accesoria, dado que, al ser de contenido económico, su no suspensión no ocasionaría perjuicios de imposible reparación, si bien no se oponía, por razones de economía procesal a la suspensión de la responsabilidad personal subsidiaria que pudiera serle impuesta en caso de impago de la pena de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28 de julio de 2004 en el que reiteraba las alegaciones ya formuladas en la demanda de amparo en relación con la petición de suspensión de la ejecución de las penas privativas de libertad, al tiempo que ponía en conocimiento de este Tribunal que, por Auto de la Sección Sexta de la Audiencia Provincial de Barcelona, ya le había sido concedida la suspensión condicional de dichas penas, de conformidad con lo establecido en los arts. 80 y ss. del Código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únicamente en lo relativo a las penas privativas de libertad dado que, de no suspenderse, podría ocasionarse al demandante de amparo un perjuicio irreparable toda vez que, como ya hemos declarado en anteriores ocasiones (por todas: AATC 269/1998, de 26 de noviembre y 84/2002, de 20 de mayo), estando comprendida la duración de las mismas dentro de la posible duración de la tramitación del presente recurso, previsiblemente dichas penas privativas de libertad estarían a punto de cumplirse –o se habrían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El hecho de que la ejecución de dichas penas haya sido ya suspendida por aplicación de lo dispuesto en los arts. 80 y ss. del Código penal no empece para que este Tribunal acuerde asimismo suspender dicha ejecución, dado el distinto alcance que una y otra tienen en la medida de que la suspensión de la ejecución de la pena prevista en los indicados preceptos está sujeta a unas condiciones que no son de aplicación a esa misma suspensión cuando la decide el Tribunal Constitucional, estando en este último caso sujeta exclusivamente al límite temporal constituido por la Sentencia en la que se pronuncie sobre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su carácter eminentemente económico, la suspensión de la pena privativa de libertad no conlleva en este caso la de la pena accesoria de pérdida de la posibilidad de obtener subvenciones públicas o crédito oficial y del derecho a gozar de beneficios fiscales durante dos años por cada uno de los cuatro delitos. No obstante lo anterior, respecto a la responsabilidad personal subsidiaria para el caso de impago de las penas de multa, este Tribunal tiene declarado en supuestos como el presente, en el que se dilucida la posible privación de libertad del recurrente como efecto, siquiera subsidiario, de una condena penal de multa, que procede acceder a la suspensión solicitada en cuanto al arresto sustitutorio por impago, ya que de ejecutarse la pena pecuniaria en su forma de responsabilidad personal subsidiaria por impago de la misma, la eventual concesión del amparo perdería su finalidad. Por otra parte, no se dan los presupuestos a los que el art. 56.1 LOTC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(AATC 193/1996, de 8 de julio; 87/1997, de 17 de marzo; 88/1997, de 17 de marzo; 184/2004, de 19 de mayo y 765/2004, de 2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a la pena privativa de libertad se refiere y a la responsabilidad personal subsidiaria por impago de multas.</w:t>
      </w:r>
    </w:p>
    <w:p w:rsidRPr="" w:rsidR="00AD51A7" w:rsidRDefault="00AD51A7">
      <w:pPr>
        <w:rPr/>
      </w:pPr>
      <w:r w:rsidRPr="&lt;w:rPr xmlns:w=&quot;http://schemas.openxmlformats.org/wordprocessingml/2006/main&quot;&gt;&lt;w:szCs w:val=&quot;24&quot; /&gt;&lt;/w:rPr&gt;">
        <w:rPr/>
        <w:t xml:space="preserve">2º Denegar la suspensión en lo tocante al resto de los pronunciamientos contenidos en las resoluciones recurridas.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