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4190-2004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4190-2004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Octava de la Audiencia Provincial de Asturias de 28 de mayo de 2004, recaída en el rollo de apelación núm. 130-2004, exclusivamente en lo referente a la pena privativa de libertad de dos años y seis</w:t>
            </w:r>
          </w:p>
          <w:p w:rsidRPr="00D13423" w:rsidR="00AD51A7" w:rsidRDefault="00AD51A7">
            <w:pPr>
              <w:rPr/>
            </w:pPr>
            <w:r w:rsidRPr="&lt;w:rPr xmlns:w=&quot;http://schemas.openxmlformats.org/wordprocessingml/2006/main&quot;&gt;&lt;w:color w:val=&quot;800080&quot; /&gt;&lt;w:szCs w:val=&quot;24&quot; /&gt;&lt;/w:rPr&gt;">
              <w:rPr/>
              <w:t xml:space="preserve">meses de prisión y a la accesoria legal de inhabilitación especial para el ejercicio del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29 de junio de 2004, don Luis Carreras de Egaña, Procurador de los Tribunales, en nombre y representación de doña Montserrat Álvarez Llaneza, asistida por el Letrado don Luis Solano Martínez de Azcoitia, interpuso recurso de amparo contra la Sentencia dictada por la Sección Octava de la Audiencia Provincial de Asturias el 28 de mayo de 2004 en el rollo de apelación núm. 130-2004, que desestimó el recurso de apelación interpuesto contra la Sentencia dictada por el Juzgado de lo Penal núm. 2 de Gijón, el 8 de marzo de 2004, en el procedimiento abreviado núm. 108-2003.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la demandante son los siguientes: </w:t>
      </w:r>
    </w:p>
    <w:p w:rsidRPr="00C21FFE" w:rsidR="00AD51A7" w:rsidRDefault="00AD51A7">
      <w:pPr>
        <w:rPr/>
      </w:pPr>
      <w:r w:rsidRPr="&lt;w:rPr xmlns:w=&quot;http://schemas.openxmlformats.org/wordprocessingml/2006/main&quot;&gt;&lt;w:lang w:val=&quot;es-ES_tradnl&quot; /&gt;&lt;/w:rPr&gt;">
        <w:rPr/>
        <w:t xml:space="preserve">a) La recurrente en amparo fue condenada por Sentencia de 8 de marzo de 2004, dictada por el Juzgado de lo Penal núm. 2 de Gijón, como autora de un delito continuado de estafa, a la pena de dos años y seis meses de prisión, con la accesoria de inhabilitación especial para el ejercicio del derecho de sufragio durante el tiempo de la condena, así como al pago de las costas procesales; igualmente, fue condenada al pago de las responsabilidades civiles que fija la Sentencia en su parte dispositiva. </w:t>
      </w:r>
    </w:p>
    <w:p w:rsidRPr="00C21FFE" w:rsidR="00AD51A7" w:rsidRDefault="00AD51A7">
      <w:pPr>
        <w:rPr/>
      </w:pPr>
      <w:r w:rsidRPr="&lt;w:rPr xmlns:w=&quot;http://schemas.openxmlformats.org/wordprocessingml/2006/main&quot;&gt;&lt;w:lang w:val=&quot;es-ES_tradnl&quot; /&gt;&lt;/w:rPr&gt;">
        <w:rPr/>
        <w:t xml:space="preserve">b) Contra la anterior Sentencia interpuso recurso de apelación ante la Audiencia Provincial de Asturias, que fue desestimado por su Sección Octava, mediante Sentencia de 28 de mayo de 2004, que confirmó los pronunciamientos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los derechos de la recurrente a la tutela judicial efectiva (art. 24.1 CE), a un proceso con todas las garantías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la recurrente solicita que se deje en suspenso la ejecución de la pena privativa de libertad,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febrero de 2006 la Sección Segunda de este Tribunal acordó la admisión a trámite de la demanda de amparo así como, a tenor de lo establecido en el art. 51 LOTC, requerir atentamente a la Sección Octava de la Audiencia Provincial de Asturias y al Juzgado de lo Penal núm. 2 de Gijón para que remitieran testimonio de sus respectivas actuaciones, interesándose al tiempo que emplazasen a quienes fueron parte en el procedimiento, a excepción de la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 la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recurrente, mediante escrito presentado el 16 de febrero de 2006, reitera su petición de que este Tribunal proceda a suspender la ejecución de la pena de prisión fijada por la Sección Octava de la Audiencia Provincial de Asturias, razonando que en caso de prolongarse la resolución del procedimiento de amparo ello supondría la pérdida de su eficacia. Alega también que está dedicada a cuidado de su familia y que carece de antecedentes penales y policiales, así como que consignó 3.000 euros, con anterioridad a la celebración del juicio oral, para el pago de las responsabilidades pecuniarias.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17 de febrero de 2006, el Ministerio Fiscal estima procedente que se acuerde la suspensión de la ejecución de la Sentencia condenatoria impugnada, en lo que afecta al cumplimiento de la pena privativa de libertad, atendida la duración de la pena de prisión impuesta y que su suspensión no ocasiona una lesión específica y grave del interés general, más allá de aquélla que de por sí produce la no ejecución de un fallo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todos, AATC 2/2001, de 15 de enero; 45/2001, de 26 de febrero; 64/2001, de 26 de marzo; 78/2001, de 2 de abril; y 83/2001, de 23 de abril). Por perjuicio irreparable hemos entendido aquel que provoque que el restablecimiento del recurrente en el derecho constitucional vulnerado sea tardío e impida su efectiva restauración (entre otros muchos, AATC 251/2000, de 30 de octubre; 63/2001, de 26 de marzo; 170/2001, de 22 de junio; y 338/2005, de 26 de septiembre).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(por todos, ATC 159/2001, de 18 de junio, FJ 2 y las resoluciones allí citadas),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(ATC 273/1998, de 14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orden a las condenas a penas privativas de libertad de hasta cinco años, la regla general ha sido su suspensión conforme al criterio genérico de la pérdida de eficacia del amparo —atendida su duración y la previsible de resolución del proceso de amparo— y a la entidad de la pena en cuanto expresiva del grado de reprobación del hecho por el ordenamiento (AATC 277/1985, de 24 de abril; 264/1998, de 26 de noviembre; 265/1998, de 26 de noviembre; 22/2002, de 25 de febrero; y 39/2004, de 9 de febrero), criterios a los que se ha añadido el relativo al tiempo de cumplimiento efectivo de la pena, ya sea por haber estado en prisión preventiva o por haberse ejecutado tras ser firme la condena (ATC 221/2000, de 2 de octubre), así como la trayectoria, acreditada documentalmente por el recurrente, posterior a su condena (ATC 270/2002, de 11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acordar la suspensión interesada dado que, de no suspenderse la pena privativa de libertad, podría ocasionarse a la recurrente un perjuicio irreparable toda vez que, como ya hemos declarado en anteriores ocasiones (por todas, AATC 269/1998, de 26 de noviembre, y 84/2002, de 20 de mayo), estando comprendida la duración de la condena a pena de prisión —dos años y seis meses—, dentro de la posible duración de la tramitación del presente recurso, dicha pena privativa de libertad podría estar próxima a cumplirse —o se habría cumplido ya en su totalidad— en dicho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del derecho de sufragio pasivo durante el tiempo de la condena, pues, conforme a nuestra jurisprudencia, las penas accesorias han de seguir la misma suerte que la principal (AATC 131/2001, de 22 de mayo, FJ 2; y 408/2005, de 21 de noviembre, FJ 2,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Octava de la Audiencia Provincial de Asturias de 28 de mayo de 2004, recaída en el rollo de apelación núm. 130-2004, exclusivamente en lo referente a la pena privativa de libertad de dos años y seis</w:t>
      </w:r>
    </w:p>
    <w:p w:rsidRPr="" w:rsidR="00AD51A7" w:rsidRDefault="00AD51A7">
      <w:pPr>
        <w:rPr/>
      </w:pPr>
      <w:r w:rsidRPr="&lt;w:rPr xmlns:w=&quot;http://schemas.openxmlformats.org/wordprocessingml/2006/main&quot;&gt;&lt;w:szCs w:val=&quot;24&quot; /&gt;&lt;/w:rPr&gt;">
        <w:rPr/>
        <w:t xml:space="preserve">meses de prisión y a la accesoria legal de inhabilitación especial para el ejercicio del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