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4.229-2004, promovido por don Ángel Villanueva Gallardo.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octubre de 2005 tuvo entrada en el Registro de este Tribunal escrito firmado por el Procurador de los Tribunales don Rafael Gamarra Mejías, en representación de don Ángel Villanueva Gallardo, en virtud del cual interponía recurso de amparo contra la Sentencia de la Sección Cuarta de la Audiencia Provincial de Sevilla, de 31 de mayo de 2004, recaída en el recurso de apelación núm. 3246-2004, que revocó la Sentencia del Juzgado de lo Penal núm. 6 de Sevilla de 23 de marzo de 2004, que absolvió al demandante de amparo del delito de quebrantamiento de condena por el que era acusado. </w:t>
      </w:r>
    </w:p>
    <w:p w:rsidRPr="00C21FFE" w:rsidR="00AD51A7" w:rsidRDefault="00AD51A7">
      <w:pPr>
        <w:rPr/>
      </w:pPr>
      <w:r w:rsidRPr="&lt;w:rPr xmlns:w=&quot;http://schemas.openxmlformats.org/wordprocessingml/2006/main&quot;&gt;&lt;w:lang w:val=&quot;es-ES_tradnl&quot; /&gt;&lt;/w:rPr&gt;">
        <w:rPr/>
        <w:t xml:space="preserve">El Sr. Villanueva Gallardo fue condenado, como autor de un delito de quebrantamiento de medida cautelar, a la pena de multa de doce meses con cuota diaria de diez euros, en total 3.600 euros, y, para el caso de que no abonare la multa, a un día de privación de libertad por cada dos cuotas diarias no satisfechas, que podría cumplir en régimen de arresto de fin de semana. Asimismo fija una indemnización de mil euros para la apelante, declarando de oficio las costas procesales de la segunda instancia e imponiendo al actor las causadas en la primera instancia. </w:t>
      </w:r>
    </w:p>
    <w:p w:rsidRPr="00C21FFE" w:rsidR="00AD51A7" w:rsidRDefault="00AD51A7">
      <w:pPr>
        <w:rPr/>
      </w:pPr>
      <w:r w:rsidRPr="&lt;w:rPr xmlns:w=&quot;http://schemas.openxmlformats.org/wordprocessingml/2006/main&quot;&gt;&lt;w:lang w:val=&quot;es-ES_tradnl&quot; /&gt;&lt;/w:rPr&gt;">
        <w:rPr/>
        <w:t xml:space="preserve">El recurrente por medio de otrosí, solicitó la suspensión de la Sentencia cuestionada con el fin de evitar daños y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7 de marzo de 2006 la Sala Segunda decidió admitir a trámite el presente recurso de amparo. Por providencia de la misma fecha, la Sala acordó formar la oportuna pieza para la tramitación del incidente de suspensión y, conforme a lo dispuesto en el art. 56 LOTC, concedió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escrito registrado el 16 de marzo de 2006, entiende que, de acuerdo con la doctrina jurisprudencial de este Tribunal, “no procede acceder a la suspensión de la ejecución de la pena ni del arresto sustitutorio indicado, y lo mismo cabe decir en relación con las costas y con la indemnización, máxime cuando el recurrente no acredita de manera alguna la no reparabilidad del daño que la ejecución comporte”.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no ha realizado alegaciones en el presente trámite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Consecuentemente, la regla general debe ser la improcedencia de la suspensión que se configura así como una medida provisional de carácter excepcional y de aplicación restrictiva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y 211/2004, de 2 junio,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resulta evidente que tanto las penas de multa e indemnización como el pronunciamiento referido a las costas procesales son reconducibles a términos económicos, por lo que les resulta aplicable la doctrina recogida en el último párrafo del fundamento jurídico anterior; tanto más cuanto el actor, que no ha formulado alegación alguna en el presente incidente, ni siquiera ha intentado justificar el carácter irreversible de los daños que podría ocasionarle el cumplimiento de la condena impuesta. En efecto, en su demanda se limita a afirmar, en términos apodícticos, que la solicitud de suspensión se formula “con el fin de evitar daños y perjuicios de imposible reparación”. En tales circunstancias, hemos de concluir que no procede la suspensión de las mencionadas penas.</w:t>
      </w:r>
    </w:p>
    <w:p w:rsidRPr="00C21FFE" w:rsidR="00AD51A7" w:rsidRDefault="00AD51A7">
      <w:pPr>
        <w:rPr/>
      </w:pPr>
      <w:r w:rsidRPr="&lt;w:rPr xmlns:w=&quot;http://schemas.openxmlformats.org/wordprocessingml/2006/main&quot;&gt;&lt;w:lang w:val=&quot;es-ES_tradnl&quot; /&gt;&lt;/w:rPr&gt;">
        <w:rPr/>
        <w:t xml:space="preserve">En segundo término, en cuanto a la responsabilidad personal subsidiaria para el caso de impago de la pena de multa, hemos de convenir con el Ministerio Fiscal en que se trata de una eventualidad incierta, “que depende de que, efectivamente, la multa no llegue a ser abonada voluntariamente o por la vía de apremio y, en cualquier caso, de una eventualidad futura” que, en caso de sobrevenir, podría dar lugar a la modificación de la decisión que ahora se adopte, en virtud de lo dispuesto en el art. 57 LOTC (por todos, ATC 369/2004, de 4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4.229-2004, promovido por don Ángel Villanueva Gallardo.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ocho de mayo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