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 de abril de 2004, don Juan Luis Navas García, Procurador de los Tribunales, y de doña Nancy Leticia Verdesoto Suárez y doña Marisela del Carmen Noboa Verdesoto, interpuso recurso de amparo contra las resoluciones judiciales que se citan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17 de Madrid, de 30 de septiembre de 2003, se condenó a las demandantes de amparo como autoras de tres delitos relativos a la prostitución, sin circunstancias modificativas de la responsabilidad, a la pena de dos años de prisión por cada uno de los delitos, accesoria legal y multa de doce meses, a razón de 3 euros de cuota diaria, responsabilidad personal subsidiaria en caso de impago de 1 día de privación de libertad por cada dos cuotas no satisfechas y al pago de las costas procesales por mitad. </w:t>
      </w:r>
    </w:p>
    <w:p w:rsidRPr="00C21FFE" w:rsidR="00AD51A7" w:rsidRDefault="00AD51A7">
      <w:pPr>
        <w:rPr/>
      </w:pPr>
      <w:r w:rsidRPr="&lt;w:rPr xmlns:w=&quot;http://schemas.openxmlformats.org/wordprocessingml/2006/main&quot;&gt;&lt;w:lang w:val=&quot;es-ES_tradnl&quot; /&gt;&lt;/w:rPr&gt;">
        <w:rPr/>
        <w:t xml:space="preserve">La Sentencia considera probado que las dos recurrentes durante el año 1999 introdujeron en España a súbditas ecuatorianas en situación económica precaria, a quienes facilitaban los medios económicos y documentales con ayuda de un abogado de Ecuador, prometiéndoles un trabajo digno y remunerado en España, contrayendo con ellas una deuda que debían pagar con las ganancias obtenidas en este país. Cuando llegaban a España, las acusadas, mediante coacciones y amenazas, las obligaban a mantener relaciones sexuales a cambio de precio, para poder cobrar la deuda lo más rápidamente posible, imponiéndoles el lugar de hospedaje, vigilando sus actividades, cobrando el precio y retirándoles los pasaportes para evitar que huyeran. Una actividad que considera que realizaron al menos con tres personas: Enis Amadia Orovio Rodríguez (a quien obligaron en 1999 al menos durante dos meses y veinte días a ejercer la prostitución en clubes y discotecas de Madrid), Mayra Lorena Grande Padilla, llegada a España el 7 de abril de 2000, hospedada por las acusadas en su domicilio y obligada durante dos meses a ejercer la prostitución en un club y en la Casa de Campo de Madrid, y Rosa Elisabeth Machuca Noboa, a quien obligaron a ejercer la prostitución durante al menos tres meses en la Casa de Campo de Madrid.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recurso de apelación, desestimado por Sentencia de la Sección Veintitresava de la Audiencia Provincial de Madrid, de 5 de febrero de 2004, que confirma íntegramente la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 los derechos de las recurrentes a la utilización de los medios de prueba pertinentes para la defensa (art. 24.2 CE), a la defensa en relación con el principio de contradicción (art. 24.2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las demandantes solicitan que se deje en suspenso la ejecución de la Sentencia, alegando que su ejecución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marzo de 2006 la Sección Primera de este Tribunal acordó la admisión a trámite de la demanda así como, a tenor de lo establecido en el art. 51 LOTC, requerir atentamente al Juzgado de lo Penal núm. 17 y a la Audiencia Provincial de Madrid para que remitieran testimonio de las actuaciones, interesándose al tiempo que emplazasen a quienes fueron parte en el procedimiento, a excepción de las demandantes de amparo, para que pudieran comparecer en el recurso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suspensión y, de conformidad con lo previsto en el art. 56 LOTC, conceder un plazo común de tres días al Ministerio Fiscal y a las recurrentes en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13 de marzo de 2006, realiza sus alegaciones el Ministerio Fiscal, interesando la denegación de la suspensión. </w:t>
      </w:r>
    </w:p>
    <w:p w:rsidRPr="00C21FFE" w:rsidR="00AD51A7" w:rsidRDefault="00AD51A7">
      <w:pPr>
        <w:rPr/>
      </w:pPr>
      <w:r w:rsidRPr="&lt;w:rPr xmlns:w=&quot;http://schemas.openxmlformats.org/wordprocessingml/2006/main&quot;&gt;&lt;w:lang w:val=&quot;es-ES_tradnl&quot; /&gt;&lt;/w:rPr&gt;">
        <w:rPr/>
        <w:t xml:space="preserve">Tras resumir los antecedentes procesales del caso y recordar la jurisprudencia de este Tribunal en cuanto a la suspensión de la ejecución de los actos de los poderes públicos recurridos en amparo, se destaca que respecto de las penas privativas de libertad impuestas no procede la suspensión a la vista de la naturaleza de la infracción cometida y de la duración de las penas impuestas; que las penas de inhabilitación impuestas, por su condición de accesorias, han de seguir la misma suerte que la principal; y respecto de la pena de multa y las costas impuestas, que los perjuicios derivados de la ejecución serán meramente económicos y, por tanto, susceptibles de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en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w:t>
      </w:r>
    </w:p>
    <w:p w:rsidRPr="00C21FFE" w:rsidR="00AD51A7" w:rsidRDefault="00AD51A7">
      <w:pPr>
        <w:rPr/>
      </w:pPr>
      <w:r w:rsidRPr="&lt;w:rPr xmlns:w=&quot;http://schemas.openxmlformats.org/wordprocessingml/2006/main&quot;&gt;&lt;w:lang w:val=&quot;es-ES_tradnl&quot; /&gt;&lt;/w:rPr&gt;">
        <w:rPr/>
        <w:t xml:space="preserve">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conduce a la denegación de la suspensión solicitada.</w:t>
      </w:r>
    </w:p>
    <w:p w:rsidRPr="00C21FFE" w:rsidR="00AD51A7" w:rsidRDefault="00AD51A7">
      <w:pPr>
        <w:rPr/>
      </w:pPr>
      <w:r w:rsidRPr="&lt;w:rPr xmlns:w=&quot;http://schemas.openxmlformats.org/wordprocessingml/2006/main&quot;&gt;&lt;w:lang w:val=&quot;es-ES_tradnl&quot; /&gt;&lt;/w:rPr&gt;">
        <w:rPr/>
        <w:t xml:space="preserve">En cuanto a la pena privativa de libertad, la ponderación de intereses que hemos de llevar a cabo obliga a considerar, entre otros factores, la gravedad y trascendencia social del delito y la gravedad de la pena impuesta (seis años), factores que determinan la existencia de un especial interés en la ejecución de las resoluciones judiciales, que debe considerarse preponderante frente al eventual perjuicio causado a las recurrentes, cuya irreparabilidad, en caso de un eventual otorgamiento del amparo, puede atemperarse otorgando al recurso una tramitación preferente. Tampoco procede la suspensión de la pena accesoria legalmente impuesta, pues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Por lo que se refiere a los pronunciamientos de contenido patrimonial —multa y costas procesales—, de conformidad con el criterio de este Tribunal, al tratarse de condenas de contenido económico, los perjuicios anejos a su ejecución son perfectamente reparables en caso de estimarse el amparo (AATC 152/1996, 371/1996, 91/1997, 181/1998, 182/1998, 273/1998, 189/2000, 193/2000, 204/2000, 106/2002).</w:t>
      </w:r>
    </w:p>
    <w:p w:rsidRPr="00C21FFE" w:rsidR="00AD51A7" w:rsidRDefault="00AD51A7">
      <w:pPr>
        <w:rPr/>
      </w:pPr>
      <w:r w:rsidRPr="&lt;w:rPr xmlns:w=&quot;http://schemas.openxmlformats.org/wordprocessingml/2006/main&quot;&gt;&lt;w:lang w:val=&quot;es-ES_tradnl&quot; /&gt;&lt;/w:rPr&gt;">
        <w:rPr/>
        <w:t xml:space="preserve">Igualmente ha de denegarse,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decisión que ahora se adopta, en virtud de lo establecido en el art. 57 LOTC (AATC 107/1998, 136/1999, 227/1999, 245/1999, 61/2000, 41/2002).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