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1655-2005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9 de marzo de 2005, doña María Angeles Oliva Yanes, Procuradora de los Tribunales, en nombre de don Manuel Giménez Martínez, interpuso recurso de amparo contra Sentencia del Juzgado Central de lo Contencioso-Administrativo núm. 7, recaída el 4 de febrero de 2005 en el procedimiento abreviado núm. 278-2004.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los demandantes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fue denunciado por pescar en una zona no permitida de la reserva marina de la isla de Tabarca. </w:t>
      </w:r>
    </w:p>
    <w:p w:rsidRPr="00C21FFE" w:rsidR="00AD51A7" w:rsidRDefault="00AD51A7">
      <w:pPr>
        <w:rPr/>
      </w:pPr>
      <w:r w:rsidRPr="&lt;w:rPr xmlns:w=&quot;http://schemas.openxmlformats.org/wordprocessingml/2006/main&quot;&gt;&lt;w:lang w:val=&quot;es-ES_tradnl&quot; /&gt;&lt;/w:rPr&gt;">
        <w:rPr/>
        <w:t xml:space="preserve">b) La Dirección General de recursos pesqueros abrió el correspondiente procedimiento sancionador, cuya incoación se intentó notificar en un domicilio que no era el del denunciado. Tras ello se publicaron edictos en el Boletín Oficial de la Provincia de Alicante. </w:t>
      </w:r>
    </w:p>
    <w:p w:rsidRPr="00C21FFE" w:rsidR="00AD51A7" w:rsidRDefault="00AD51A7">
      <w:pPr>
        <w:rPr/>
      </w:pPr>
      <w:r w:rsidRPr="&lt;w:rPr xmlns:w=&quot;http://schemas.openxmlformats.org/wordprocessingml/2006/main&quot;&gt;&lt;w:lang w:val=&quot;es-ES_tradnl&quot; /&gt;&lt;/w:rPr&gt;">
        <w:rPr/>
        <w:t xml:space="preserve">c) El 23 de diciembre de 2002, la Dirección General de recursos pesqueros dictó resolución sancionadora imponiendo al denunciado una multa de 1.000 euros. Esta resolución fue remitida a la misma dirección errónea, si bien, consta que fue entregada a la esposa del sancionado. </w:t>
      </w:r>
    </w:p>
    <w:p w:rsidRPr="00C21FFE" w:rsidR="00AD51A7" w:rsidRDefault="00AD51A7">
      <w:pPr>
        <w:rPr/>
      </w:pPr>
      <w:r w:rsidRPr="&lt;w:rPr xmlns:w=&quot;http://schemas.openxmlformats.org/wordprocessingml/2006/main&quot;&gt;&lt;w:lang w:val=&quot;es-ES_tradnl&quot; /&gt;&lt;/w:rPr&gt;">
        <w:rPr/>
        <w:t xml:space="preserve">d) El sancionado recurrió en alzada, denunciando que hasta ese momento no había tenido conocimiento previo del procedimiento sancionador. Dicho recurso de alzada fue desestimado por Resolución de 29 de agosto de 2003. </w:t>
      </w:r>
    </w:p>
    <w:p w:rsidRPr="00C21FFE" w:rsidR="00AD51A7" w:rsidRDefault="00AD51A7">
      <w:pPr>
        <w:rPr/>
      </w:pPr>
      <w:r w:rsidRPr="&lt;w:rPr xmlns:w=&quot;http://schemas.openxmlformats.org/wordprocessingml/2006/main&quot;&gt;&lt;w:lang w:val=&quot;es-ES_tradnl&quot; /&gt;&lt;/w:rPr&gt;">
        <w:rPr/>
        <w:t xml:space="preserve">e) Finalmente interpuso recurso contencioso-administrativo, que fue desestimado por el Juzgado Central de lo Contencioso-Administrativo núm. 7, mediante Sentencia de 4 de febrero de 2005. El órgano judicial argumenta que “se comprueba en el expediente que la Administración remitió la notificación de la nueva incoación del expediente al domicilio que le constaba del interesado, domicilio en el que recibió las posteriores de las resoluciones sancionadora y desestimatoria de la alzada dictadas con posterioridad”.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 los derechos a la tutela judicial efectiva, sin que, en ningún caso, pueda producirse indefensión (art. 24.1 CE) y a la presunción de inocencia (art. 24.2 CE), que el demandante de amparo considera que han resultado vulnerados, al no haber sido emplazado personalmente, sino mediante edictos, en el procedimiento administrativo sancionador, a pesar de que su domicilio era conocido por la Administración, pues constaba en el propio expediente.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otrosí de la demanda, el recurrente solicita que se deje en suspenso la ejecución de la Sentencia impugnada, de acuerdo con lo previsto en el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noviembre de 2006 la Sección Segunda de este Tribunal acordó la admisión a trámite de la demanda de amparo así como, a tenor de lo establecido en el art. 51 LOTC, requerir al Juzgado Central de lo Contencioso-Administrativo núm. 7 y a Subdirección General de recursos y asuntos jurídicos del Ministerio de Agricultura, Pesca y Alimentación, para que remitieran testimonio de las actuaciones y del expediente, respectivamente, acordándose al mismo tiempo el emplazamiento del Abogado del Estado, para que pudiera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otra providencia de la misma fecha se acordó formar la correspondiente pieza separada de suspensión y, de conformidad con lo previsto en el art. 56 LOTC, conceder un plazo común de tres días al Ministerio Fiscal, al Abogado del Estado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presentado el 28 de noviembre de 2006, solicitó la denegación de la suspensión interesada, en consideración a que tiene una proyección meramente económica y la demanda no ofrece justificación alguna de su procedencia.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el 4 de diciembre de 2006, el Ministerio Fiscal se opone a la suspensión solicitada por entender que el demandante no especifica qué perjuicios causaría la no suspensión de la resolución impugnada y que, en cualquier caso, el pronunciamiento judicial tiene un contenido exclusivamente pecuniario y, por tanto, fácilmente 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procesal del recurrente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99/1999, de 26 de abril, FJ 2; 289/2000, de 11 de diciembre, FJ 2; 230/2001, de 24 de julio, FJ 1; 171/2002, de 30 de septiembre, FJ 1; 413/2003, de 15 de diciembre, FJ 1; 530/2004 de 20 de diciembre, FJ 1; y 170/2006, de 24 de mayo, FJ 1, entre otros muchos).</w:t>
      </w:r>
    </w:p>
    <w:p w:rsidRPr="00C21FFE" w:rsidR="00AD51A7" w:rsidRDefault="00AD51A7">
      <w:pPr>
        <w:rPr/>
      </w:pPr>
      <w:r w:rsidRPr="&lt;w:rPr xmlns:w=&quot;http://schemas.openxmlformats.org/wordprocessingml/2006/main&quot;&gt;&lt;w:lang w:val=&quot;es-ES_tradnl&quot; /&gt;&lt;/w:rPr&gt;">
        <w:rPr/>
        <w:t xml:space="preserve">A ello se añade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72/1997, de 10 de marzo; y 145/2006, de 24 de abril, FJ 2,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En general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275/1990, de 2 de julio, FJ 2; 530/2004, de 20 de diciembre, FJ 2; y 170/2006, de 24 de mayo, FJ 2). Sólo en aquellos supuestos en que con un principio de prueba la ejecución de lo acordado acarree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hemos accedido a la suspensión (AATC 565/1986, de 2 de julio, FJ único; 52/1989, de 30 de enero, FJ único; y 335/2005, de 15 de septiembre, FJ 2).</w:t>
      </w:r>
    </w:p>
    <w:p w:rsidRPr="00C21FFE" w:rsidR="00AD51A7" w:rsidRDefault="00AD51A7">
      <w:pPr>
        <w:rPr/>
      </w:pPr>
      <w:r w:rsidRPr="&lt;w:rPr xmlns:w=&quot;http://schemas.openxmlformats.org/wordprocessingml/2006/main&quot;&gt;&lt;w:lang w:val=&quot;es-ES_tradnl&quot; /&gt;&lt;/w:rPr&gt;">
        <w:rPr/>
        <w:t xml:space="preserve">La aplicación de la doctrina general reseñada al presente caso conduce a denegar la medida cautelar solicitada, habida cuenta de que el demandante no especifica qué perjuicios le causaría la no suspensión de la resolución impugnada, y de que, en cualquier caso, tal pronunciamiento judicial -que desestima la impugnación contra una sanción administrativa de mil euros- tiene un contenido exclusivamente pecuniario y, por tanto, fácilmente reparable, como hemos considerado en ocasiones precedentes respecto de otros casos referidos también al pago de multas (así, AATC 528/2004 20 de diciembre, FJ 3; y 411/2004 2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