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Primera de la Sala de lo Penal de la Audiencia Nacional, de fecha 16 de marzo de 2004 (rollo de Sala núm. 5-2002), en la relativo a la condena al recurrente, don Juan José Folchi Bonafonte, a</w:t>
            </w:r>
          </w:p>
          <w:p w:rsidRPr="00D13423" w:rsidR="00AD51A7" w:rsidRDefault="00AD51A7">
            <w:pPr>
              <w:rPr/>
            </w:pPr>
            <w:r w:rsidRPr="&lt;w:rPr xmlns:w=&quot;http://schemas.openxmlformats.org/wordprocessingml/2006/main&quot;&gt;&lt;w:color w:val=&quot;800080&quot; /&gt;&lt;w:szCs w:val=&quot;24&quot; /&gt;&lt;/w:rPr&gt;">
              <w:rPr/>
              <w:t xml:space="preserve">la pena privativa de libertad de dos años de prisión y a la accesoria de suspensión de cargo público.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septiembre de 2006, el Procurador de los Tribunales don Adolfo Morales Hernández-Sanjuan, en nombre y representación de don Juan José Folchi Bonafonte, interpuso recurso de amparo contra la Sentencia de 24 de julio de 2006, dictada por la Sala de lo Penal del Tribunal Supremo, que desestimó el recurso de casación núm. 1014-2004 interpuesto contra la Sentencia de la Sección Primera de la Sala de lo Penal de la Audiencia Nacional, de fecha 16 de marzo de 2004 (rollo de Sala núm. 5-2002), que le condenó como autor de un delito de apropiación indebida, con la agravante muy cualificada de especial gravedad atendido el valor de la apropiación, a la pena de dos años de prisión menor, con la accesoria de suspensión de cargo público, y al pago de la parte proporcional de las costas, incluyendo las de las acusaciones particulares.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alega en su escrito de demanda la vulneración de los arts. 24 y 25 CE, y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6 de marzo de 2007 la Sala Segunda de este Tribunal acordó, respectivamente,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insistió en su escrito de alegaciones de fecha 15 de marzo de 2007 en su petición de suspensión de la ejecución de la pena privativa de libertad impuesta en la Sentencia dictada por la Sala a quo. El Ministerio Fiscal, mediante escrito registrado el 20 de marzo de 2007, interesó la suspensión de la ejecución de la pena privativa de libertad y de su accesoria “atendida la duración de la pena privativa de libertad impuesta, y el tiempo que normalmente se consume en la tramitación de un proceso de amparo”, pues “de procederse a la ejecución de la pena privativa de libertad, los efectos de un eventual otorgamiento de amparo se tornarían en ilusorios, al estar previsiblemente extinguida dicha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suspenderá la ejecución del acto de los poderes públicos por razón del cual aquél se solicita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228/2001, entre otros muchos). Acorde, pues, con la naturaleza especial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dicha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Del mismo modo,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al demandante (dos años) con el tiempo que requiere normalmente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Del mismo modo, y conforme lo apuntado por el Ministerio Fiscal, también procede la suspensión de la ejecución de la pena accesoria impuesta, al deber seguir ésta la misma suerte que la principal.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Primera de la Sala de lo Penal de la Audiencia Nacional, de fecha 16 de marzo de 2004 (rollo de Sala núm. 5-2002), en la relativo a la condena al recurrente, don Juan José Folchi Bonafonte, a</w:t>
      </w:r>
    </w:p>
    <w:p w:rsidRPr="" w:rsidR="00AD51A7" w:rsidRDefault="00AD51A7">
      <w:pPr>
        <w:rPr/>
      </w:pPr>
      <w:r w:rsidRPr="&lt;w:rPr xmlns:w=&quot;http://schemas.openxmlformats.org/wordprocessingml/2006/main&quot;&gt;&lt;w:szCs w:val=&quot;24&quot; /&gt;&lt;/w:rPr&gt;">
        <w:rPr/>
        <w:t xml:space="preserve">la pena privativa de libertad de dos años de prisión y a la accesoria de suspensión de cargo público.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