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dictada por la Sección Primera de la Audiencia Provincial de A Coruña, de 9 de mayo de 2006 exclusivamente en lo referente a la pena privativa de libertad de dos años de prisión y a la accesoria legal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8 de junio de 2006, don Argimiro Vázquez Guillén, Procurador de los Tribunales, y de doña Iluminada Sambade Sendón, interpuso recurso de amparo contra la resolución judicial que se cita en el encabezamiento, en la cual ésta fue condenada como autora de un delito de lesiones, a las penas de dos años de prisión, inhabilitación especial para el ejercicio del derecho de sufragio pasivo durante la condena, así como al pago de la mitad de las costas causadas en juicio y a indemnizar al Hospital Virxen de Xunqueira en la cantidad de 236,55 euros y a su hermana en la cantidad de 2.782,9 euros. </w:t>
      </w:r>
    </w:p>
    <w:p w:rsidRPr="00C21FFE" w:rsidR="00AD51A7" w:rsidRDefault="00AD51A7">
      <w:pPr>
        <w:rPr/>
      </w:pPr>
      <w:r w:rsidRPr="&lt;w:rPr xmlns:w=&quot;http://schemas.openxmlformats.org/wordprocessingml/2006/main&quot;&gt;&lt;w:lang w:val=&quot;es-ES_tradnl&quot; /&gt;&lt;/w:rPr&gt;">
        <w:rPr/>
        <w:t xml:space="preserve">Por otrosí en la demanda se solicita se deje en suspenso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18 de septiembre de 2007 la Sala Segunda de este Tribunal acordó la admisión a trámite de la demanda y formar la correspondiente pieza separada de suspensión, concediendo, de conformidad con lo previsto en el art. 56 LOTC,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28 de septiembre de 2007 realizó sus alegaciones la demandante de amparo, quien reitera la solicitud de suspensión, argumentando que, de no accederse a ella, tendría que ingresar en prisión, causándose un daño irreparable a su libertad para el supuesto de que prospere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 de octubre de 2007 se registró en este Tribunal el escrito de alegaciones del Ministerio Fiscal, que interesa la estimación de la solicitud de suspensión de la pena privativa de libertad de dos años de prisión y de la accesoria legal de inhabilitación para el ejercicio del derecho de sufragio pasivo. </w:t>
      </w:r>
    </w:p>
    <w:p w:rsidRPr="00C21FFE" w:rsidR="00AD51A7" w:rsidRDefault="00AD51A7">
      <w:pPr>
        <w:rPr/>
      </w:pPr>
      <w:r w:rsidRPr="&lt;w:rPr xmlns:w=&quot;http://schemas.openxmlformats.org/wordprocessingml/2006/main&quot;&gt;&lt;w:lang w:val=&quot;es-ES_tradnl&quot; /&gt;&lt;/w:rPr&gt;">
        <w:rPr/>
        <w:t xml:space="preserve">Tras recordar nuestra doctrina en materia de suspensión, destaca el Fiscal que nos encontramos ante una pena de prisión de corta duración (dos años), que estaría comprendida dentro de la posible duración de la tramitación del presente recurso de amparo. </w:t>
      </w:r>
    </w:p>
    <w:p w:rsidRPr="00C21FFE" w:rsidR="00AD51A7" w:rsidRDefault="00AD51A7">
      <w:pPr>
        <w:rPr/>
      </w:pPr>
      <w:r w:rsidRPr="&lt;w:rPr xmlns:w=&quot;http://schemas.openxmlformats.org/wordprocessingml/2006/main&quot;&gt;&lt;w:lang w:val=&quot;es-ES_tradnl&quot; /&gt;&lt;/w:rPr&gt;">
        <w:rPr/>
        <w:t xml:space="preserve">Por ello, y en atención a la escasa gravedad y trascendencia social de los hechos objeto de condena, a la carencia de antecedentes penales de la recurrente y a la inexistencia de indicadores de riesgo de eludir la acción de la justicia, no se constata una particular afectación de los intereses generales ni de los derechos de terceros derivada de la no ejecución del fallo. La suspensión ha de alcanzar tanto a la pena privativa de libertad como a la accesoria legal, pero no a la responsabilidad civil ni a la condena en costas, al tratarse de pronunciamientos de naturaleza económica y susceptibles de reparación mediante la devolución de lo abonado.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vino manteniendo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369/2005, de 24 de octubre, FJ 2; 214/2007, de 16 de abril, FJ 2; 287/2007,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pues si se compara la duración de la misma (dos años)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la recurrente carece de antecedentes penales), no se aprecia –como pone de relieve el Ministerio Fiscal-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y 408/2005, de 21 de noviembre, FJ 2;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—responsabilidad civil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 Sentencia dictada por la Sección Primera de la Audiencia Provincial de A Coruña, de 9 de mayo de 2006 exclusivamente en lo referente a la pena privativa de libertad de dos años de prisión y a la accesoria legal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